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44384" w:rsidRPr="00F2011E" w:rsidRDefault="00C44384" w:rsidP="00C44384">
      <w:pPr>
        <w:pStyle w:val="Titre2"/>
        <w:jc w:val="center"/>
        <w:rPr>
          <w:rFonts w:ascii="Book Antiqua" w:hAnsi="Book Antiqua"/>
          <w:sz w:val="32"/>
          <w:szCs w:val="32"/>
        </w:rPr>
      </w:pPr>
      <w:r w:rsidRPr="00F2011E">
        <w:rPr>
          <w:rFonts w:ascii="Book Antiqua" w:hAnsi="Book Antiqua"/>
          <w:sz w:val="32"/>
          <w:szCs w:val="32"/>
        </w:rPr>
        <w:t xml:space="preserve">Chapitre I </w:t>
      </w:r>
    </w:p>
    <w:p w:rsidR="00C44384" w:rsidRPr="00353075" w:rsidRDefault="00C44384" w:rsidP="00C44384"/>
    <w:p w:rsidR="00634F62" w:rsidRDefault="00634F62" w:rsidP="00634F62">
      <w:pPr>
        <w:spacing w:line="360" w:lineRule="auto"/>
        <w:ind w:right="1306"/>
        <w:jc w:val="center"/>
        <w:rPr>
          <w:b/>
          <w:bCs/>
          <w:sz w:val="28"/>
          <w:szCs w:val="28"/>
        </w:rPr>
      </w:pPr>
      <w:r w:rsidRPr="00006890">
        <w:rPr>
          <w:b/>
          <w:bCs/>
          <w:sz w:val="28"/>
          <w:szCs w:val="28"/>
        </w:rPr>
        <w:t>ETUDE QUALITATIVE</w:t>
      </w:r>
      <w:r>
        <w:rPr>
          <w:b/>
          <w:bCs/>
          <w:sz w:val="28"/>
          <w:szCs w:val="28"/>
        </w:rPr>
        <w:t xml:space="preserve"> PAR SPECTROMETRIE INFRAROUGE</w:t>
      </w:r>
    </w:p>
    <w:p w:rsidR="00634F62" w:rsidRPr="00634F62" w:rsidRDefault="00634F62" w:rsidP="00634F62">
      <w:pPr>
        <w:spacing w:line="360" w:lineRule="auto"/>
        <w:ind w:right="562"/>
        <w:jc w:val="both"/>
        <w:rPr>
          <w:b/>
          <w:bCs/>
        </w:rPr>
      </w:pPr>
      <w:r w:rsidRPr="00FC5E19">
        <w:rPr>
          <w:b/>
          <w:bCs/>
        </w:rPr>
        <w:t>INTRODUCTION</w:t>
      </w:r>
    </w:p>
    <w:p w:rsidR="00634F62" w:rsidRDefault="00634F62" w:rsidP="00634F62">
      <w:pPr>
        <w:spacing w:line="360" w:lineRule="auto"/>
        <w:ind w:right="562"/>
        <w:jc w:val="both"/>
      </w:pPr>
      <w:r>
        <w:tab/>
        <w:t>Les radiations infrarouges se situent dans la partie du spectre électromagnétique comprise entre la région visible et celle des micro-ondes. Bien que les régions du proche infrarouge (14290 - 4000 cm</w:t>
      </w:r>
      <w:r w:rsidRPr="00D002F0">
        <w:rPr>
          <w:vertAlign w:val="superscript"/>
        </w:rPr>
        <w:t>-1</w:t>
      </w:r>
      <w:r>
        <w:t>) et de l’infrarouge lointain (700 – 200 cm</w:t>
      </w:r>
      <w:r w:rsidRPr="00D002F0">
        <w:rPr>
          <w:vertAlign w:val="superscript"/>
        </w:rPr>
        <w:t>-1</w:t>
      </w:r>
      <w:r>
        <w:t>) suscitent un certain intérêt, a région limitée entre 4000 et 400 cm</w:t>
      </w:r>
      <w:r w:rsidRPr="00D002F0">
        <w:rPr>
          <w:vertAlign w:val="superscript"/>
        </w:rPr>
        <w:t>-1</w:t>
      </w:r>
      <w:r>
        <w:t xml:space="preserve"> est la plus utile d’un point de vue pratique pour le chimiste organicien. </w:t>
      </w:r>
      <w:r>
        <w:rPr>
          <w:color w:val="000000"/>
        </w:rPr>
        <w:t>Cela fait de l</w:t>
      </w:r>
      <w:r>
        <w:t>a spectroscopie IR le moyen le plus simple, le plus rapide et souvent le plus fiable, pour ordonner une substance dans une classe de composés.</w:t>
      </w:r>
    </w:p>
    <w:p w:rsidR="00634F62" w:rsidRDefault="00634F62" w:rsidP="00634F62">
      <w:pPr>
        <w:spacing w:line="360" w:lineRule="auto"/>
        <w:ind w:right="562"/>
        <w:jc w:val="both"/>
      </w:pPr>
      <w:r>
        <w:tab/>
        <w:t>Nous nous proposons, dans le cadre de ce cours, de montrer la contribution qu’elle peut apporter aux analyses structurales.</w:t>
      </w:r>
    </w:p>
    <w:p w:rsidR="00634F62" w:rsidRDefault="00634F62" w:rsidP="00634F62">
      <w:pPr>
        <w:spacing w:line="360" w:lineRule="auto"/>
        <w:ind w:right="562"/>
        <w:jc w:val="both"/>
      </w:pPr>
    </w:p>
    <w:p w:rsidR="00634F62" w:rsidRDefault="00634F62" w:rsidP="00634F62">
      <w:pPr>
        <w:spacing w:line="360" w:lineRule="auto"/>
        <w:ind w:right="562"/>
        <w:jc w:val="both"/>
        <w:rPr>
          <w:b/>
          <w:bCs/>
        </w:rPr>
      </w:pPr>
      <w:r w:rsidRPr="008F3A2C">
        <w:rPr>
          <w:b/>
          <w:bCs/>
        </w:rPr>
        <w:t>I – ANALYSE PAR IDENTIFICATION</w:t>
      </w:r>
    </w:p>
    <w:p w:rsidR="00634F62" w:rsidRPr="00CA60E6" w:rsidRDefault="00634F62" w:rsidP="00634F62">
      <w:pPr>
        <w:spacing w:line="360" w:lineRule="auto"/>
        <w:ind w:right="562"/>
        <w:jc w:val="both"/>
        <w:rPr>
          <w:b/>
          <w:bCs/>
          <w:u w:val="single"/>
        </w:rPr>
      </w:pPr>
      <w:r w:rsidRPr="00CA60E6">
        <w:rPr>
          <w:b/>
          <w:bCs/>
        </w:rPr>
        <w:t xml:space="preserve">I – 1- </w:t>
      </w:r>
      <w:r w:rsidRPr="00CA60E6">
        <w:rPr>
          <w:b/>
          <w:bCs/>
          <w:u w:val="single"/>
        </w:rPr>
        <w:t>Identificati</w:t>
      </w:r>
      <w:r>
        <w:rPr>
          <w:b/>
          <w:bCs/>
          <w:u w:val="single"/>
        </w:rPr>
        <w:t>on d’un corps pur</w:t>
      </w:r>
    </w:p>
    <w:p w:rsidR="00634F62" w:rsidRPr="008F3A2C" w:rsidRDefault="00634F62" w:rsidP="00634F62">
      <w:pPr>
        <w:spacing w:line="360" w:lineRule="auto"/>
        <w:ind w:right="562" w:firstLine="720"/>
        <w:jc w:val="both"/>
        <w:rPr>
          <w:b/>
          <w:bCs/>
        </w:rPr>
      </w:pPr>
      <w:r>
        <w:t>Un composé possède des spectres IR et Raman qui lui sont propres</w:t>
      </w:r>
      <w:r w:rsidRPr="00A4203A">
        <w:t>. On parle même</w:t>
      </w:r>
      <w:r>
        <w:t xml:space="preserve"> de véritable </w:t>
      </w:r>
      <w:r w:rsidRPr="00A4203A">
        <w:rPr>
          <w:b/>
          <w:bCs/>
        </w:rPr>
        <w:t>« empreinte digitale »</w:t>
      </w:r>
      <w:r>
        <w:rPr>
          <w:b/>
          <w:bCs/>
        </w:rPr>
        <w:t xml:space="preserve">. </w:t>
      </w:r>
      <w:r w:rsidRPr="00A4203A">
        <w:t>Ainsi</w:t>
      </w:r>
      <w:r>
        <w:t>, des composés chimiques qui ont des structures très voisines peuvent avoir des spectres assez différents.</w:t>
      </w:r>
    </w:p>
    <w:p w:rsidR="00634F62" w:rsidRDefault="00634F62" w:rsidP="00634F62">
      <w:pPr>
        <w:spacing w:line="360" w:lineRule="auto"/>
        <w:ind w:right="562" w:firstLine="720"/>
        <w:jc w:val="both"/>
      </w:pPr>
      <w:r>
        <w:t xml:space="preserve">De nombreux spectres de références sont maintenant à la disposition du chimiste dans des catalogues ou des banques de données à des fins comparatives. On parvient ainsi souvent à identifier sans ambiguïté une substance inconnue grâce à son seul spectre IR. Le nombre </w:t>
      </w:r>
      <w:r w:rsidRPr="000B05F0">
        <w:t xml:space="preserve">de </w:t>
      </w:r>
      <w:r w:rsidRPr="000B05F0">
        <w:rPr>
          <w:color w:val="800000"/>
        </w:rPr>
        <w:t xml:space="preserve"> </w:t>
      </w:r>
      <w:r>
        <w:t>spectres IR catalogués ou publiés dans la littérature scientifique est à présent de plus de 100 000. Cet immense volume de matériel de comparaison est mis de plus en plus à profit dans les méthodes de recherche informatisées. Ces répertoires sont par contre plus rares en Raman.</w:t>
      </w:r>
    </w:p>
    <w:p w:rsidR="00634F62" w:rsidRDefault="00634F62" w:rsidP="00634F62">
      <w:pPr>
        <w:spacing w:line="360" w:lineRule="auto"/>
        <w:ind w:right="562"/>
        <w:jc w:val="both"/>
        <w:rPr>
          <w:u w:val="single"/>
        </w:rPr>
      </w:pPr>
      <w:r>
        <w:tab/>
        <w:t xml:space="preserve">Les développements de </w:t>
      </w:r>
      <w:r w:rsidRPr="004C3290">
        <w:rPr>
          <w:b/>
          <w:bCs/>
        </w:rPr>
        <w:t>l’interférométrie et de l’informatique</w:t>
      </w:r>
      <w:r>
        <w:t xml:space="preserve"> ont, d’autre part, permis d’automatiser le travail de comparaison des spectres. Ainsi, il existe chez les constructeurs de spectromètres </w:t>
      </w:r>
      <w:r w:rsidRPr="004C3290">
        <w:rPr>
          <w:b/>
          <w:bCs/>
        </w:rPr>
        <w:t>des banques de données informatisées</w:t>
      </w:r>
      <w:r>
        <w:t xml:space="preserve"> plus ou moins volumineuses, gérées par des logiciels de recherche. Ces logiciels effectuent une comparaison numérique du spectre inconnu avec chacun des spectres de la banque de </w:t>
      </w:r>
      <w:r>
        <w:lastRenderedPageBreak/>
        <w:t>données.</w:t>
      </w:r>
      <w:r w:rsidRPr="00704A3C">
        <w:t xml:space="preserve"> </w:t>
      </w:r>
      <w:r w:rsidRPr="005C720A">
        <w:rPr>
          <w:b/>
          <w:bCs/>
          <w:color w:val="000000"/>
        </w:rPr>
        <w:t>Il est important cependant de toujours vérifier le résultat par la comparaison visuelle des spectres proposés avec celui de l’échantillon inconnu.</w:t>
      </w:r>
    </w:p>
    <w:p w:rsidR="00634F62" w:rsidRDefault="00634F62" w:rsidP="00634F62">
      <w:pPr>
        <w:spacing w:line="360" w:lineRule="auto"/>
        <w:ind w:right="562"/>
        <w:jc w:val="both"/>
      </w:pPr>
      <w:r>
        <w:tab/>
      </w:r>
    </w:p>
    <w:p w:rsidR="00634F62" w:rsidRPr="00CA60E6" w:rsidRDefault="00634F62" w:rsidP="00634F62">
      <w:pPr>
        <w:spacing w:line="360" w:lineRule="auto"/>
        <w:ind w:right="562"/>
        <w:jc w:val="both"/>
        <w:rPr>
          <w:b/>
          <w:bCs/>
          <w:u w:val="single"/>
        </w:rPr>
      </w:pPr>
      <w:r w:rsidRPr="00CA60E6">
        <w:rPr>
          <w:b/>
          <w:bCs/>
        </w:rPr>
        <w:t xml:space="preserve">I – 2 – </w:t>
      </w:r>
      <w:r w:rsidRPr="00CA60E6">
        <w:rPr>
          <w:b/>
          <w:bCs/>
          <w:u w:val="single"/>
        </w:rPr>
        <w:t>Identification des constituants d’un mélange</w:t>
      </w:r>
    </w:p>
    <w:p w:rsidR="00634F62" w:rsidRDefault="00634F62" w:rsidP="00634F62">
      <w:pPr>
        <w:spacing w:line="360" w:lineRule="auto"/>
        <w:ind w:right="562"/>
        <w:jc w:val="both"/>
      </w:pPr>
      <w:r>
        <w:tab/>
        <w:t>Le spectre de vibration d’un mélange est, en première approximation, la superposition des spectres des composants.</w:t>
      </w:r>
    </w:p>
    <w:p w:rsidR="00634F62" w:rsidRDefault="00634F62" w:rsidP="00634F62">
      <w:pPr>
        <w:spacing w:line="360" w:lineRule="auto"/>
        <w:ind w:right="562"/>
        <w:jc w:val="both"/>
      </w:pPr>
      <w:r>
        <w:tab/>
        <w:t xml:space="preserve">Dans certains cas, l’indentification des divers composants peut s’effectuer directement en superposant les spectres des corps purs. Les méthodes informatiques ne conduisent généralement qu’au spectre du mélange. Pour des mélanges très complexes, il faudra faire appel à une méthode </w:t>
      </w:r>
      <w:proofErr w:type="spellStart"/>
      <w:r>
        <w:t>préparative</w:t>
      </w:r>
      <w:proofErr w:type="spellEnd"/>
      <w:r>
        <w:t>. Il existe actuellement des spectromètres couplés avec un chromatographe qui permettent directement ce traitement.</w:t>
      </w:r>
    </w:p>
    <w:p w:rsidR="00634F62" w:rsidRDefault="00634F62" w:rsidP="00634F62">
      <w:pPr>
        <w:spacing w:line="360" w:lineRule="auto"/>
        <w:ind w:right="562"/>
        <w:jc w:val="both"/>
      </w:pPr>
      <w:r>
        <w:tab/>
        <w:t xml:space="preserve">Dans tous les cas il faut se méfier des interactions soluté - soluté et soluté - solvant qui peuvent perturber le spectre de certains constituants </w:t>
      </w:r>
      <w:r w:rsidRPr="005C720A">
        <w:rPr>
          <w:color w:val="000000"/>
        </w:rPr>
        <w:t>(liaison hydrogène,</w:t>
      </w:r>
      <w:r>
        <w:t xml:space="preserve"> équilibre</w:t>
      </w:r>
      <w:r>
        <w:rPr>
          <w:color w:val="000000"/>
        </w:rPr>
        <w:t xml:space="preserve"> </w:t>
      </w:r>
      <w:proofErr w:type="spellStart"/>
      <w:r>
        <w:t>conformationnels</w:t>
      </w:r>
      <w:proofErr w:type="spellEnd"/>
      <w:r>
        <w:t xml:space="preserve">..). L’analyse devra alors porter sur la comparaison des vibrateurs </w:t>
      </w:r>
      <w:r>
        <w:sym w:font="SymbolPS" w:char="F0B2"/>
      </w:r>
      <w:r>
        <w:t>peu sensibles</w:t>
      </w:r>
      <w:r>
        <w:sym w:font="SymbolPS" w:char="F0B2"/>
      </w:r>
      <w:r>
        <w:t xml:space="preserve"> à ces interactions. Les effets soluté - solvant peuvent être pris en compte en comparant le spectre du mélange à celui du constituant en solution dans le même solvant. Dans le cas des solutions, le premier travail consistera à soustraire le spectre du solvant pour faire apparaître le spectre  du ou des solutés. </w:t>
      </w:r>
    </w:p>
    <w:p w:rsidR="00634F62" w:rsidRDefault="00634F62" w:rsidP="00634F62">
      <w:pPr>
        <w:spacing w:line="360" w:lineRule="auto"/>
        <w:ind w:right="562"/>
        <w:jc w:val="both"/>
      </w:pPr>
    </w:p>
    <w:p w:rsidR="00634F62" w:rsidRDefault="00634F62" w:rsidP="00634F62">
      <w:pPr>
        <w:spacing w:line="360" w:lineRule="auto"/>
        <w:ind w:right="562"/>
        <w:jc w:val="center"/>
      </w:pPr>
      <w:r>
        <w:rPr>
          <w:noProof/>
        </w:rPr>
        <w:drawing>
          <wp:inline distT="0" distB="0" distL="0" distR="0">
            <wp:extent cx="5124450" cy="2476500"/>
            <wp:effectExtent l="19050" t="0" r="0" b="0"/>
            <wp:docPr id="2" name="Imag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7" cstate="print">
                      <a:lum bright="-24000" contrast="60000"/>
                    </a:blip>
                    <a:srcRect/>
                    <a:stretch>
                      <a:fillRect/>
                    </a:stretch>
                  </pic:blipFill>
                  <pic:spPr bwMode="auto">
                    <a:xfrm>
                      <a:off x="0" y="0"/>
                      <a:ext cx="5124450" cy="2476500"/>
                    </a:xfrm>
                    <a:prstGeom prst="rect">
                      <a:avLst/>
                    </a:prstGeom>
                    <a:noFill/>
                    <a:ln w="9525">
                      <a:noFill/>
                      <a:miter lim="800000"/>
                      <a:headEnd/>
                      <a:tailEnd/>
                    </a:ln>
                  </pic:spPr>
                </pic:pic>
              </a:graphicData>
            </a:graphic>
          </wp:inline>
        </w:drawing>
      </w:r>
      <w:r>
        <w:t>.</w:t>
      </w:r>
    </w:p>
    <w:p w:rsidR="00634F62" w:rsidRDefault="00634F62" w:rsidP="00634F62">
      <w:pPr>
        <w:spacing w:line="360" w:lineRule="auto"/>
        <w:ind w:right="72"/>
        <w:jc w:val="center"/>
        <w:rPr>
          <w:b/>
          <w:bCs/>
          <w:sz w:val="20"/>
          <w:szCs w:val="20"/>
        </w:rPr>
      </w:pPr>
      <w:r w:rsidRPr="00FE2E1D">
        <w:rPr>
          <w:b/>
          <w:bCs/>
          <w:sz w:val="20"/>
          <w:szCs w:val="20"/>
        </w:rPr>
        <w:t>Figure</w:t>
      </w:r>
      <w:r>
        <w:rPr>
          <w:b/>
          <w:bCs/>
          <w:sz w:val="20"/>
          <w:szCs w:val="20"/>
        </w:rPr>
        <w:t xml:space="preserve"> 1.1 : Spectre </w:t>
      </w:r>
      <w:r w:rsidRPr="00FE2E1D">
        <w:rPr>
          <w:b/>
          <w:bCs/>
          <w:sz w:val="20"/>
          <w:szCs w:val="20"/>
        </w:rPr>
        <w:t>infrarouge de la 4-méthyle-</w:t>
      </w:r>
      <w:proofErr w:type="spellStart"/>
      <w:r w:rsidRPr="00FE2E1D">
        <w:rPr>
          <w:b/>
          <w:bCs/>
          <w:sz w:val="20"/>
          <w:szCs w:val="20"/>
        </w:rPr>
        <w:t>triazolone</w:t>
      </w:r>
      <w:proofErr w:type="spellEnd"/>
      <w:r>
        <w:t xml:space="preserve"> </w:t>
      </w:r>
      <w:r w:rsidRPr="00FE2E1D">
        <w:rPr>
          <w:b/>
          <w:bCs/>
          <w:sz w:val="20"/>
          <w:szCs w:val="20"/>
        </w:rPr>
        <w:t>en solution dans l’</w:t>
      </w:r>
      <w:proofErr w:type="spellStart"/>
      <w:r w:rsidRPr="00FE2E1D">
        <w:rPr>
          <w:b/>
          <w:bCs/>
          <w:sz w:val="20"/>
          <w:szCs w:val="20"/>
        </w:rPr>
        <w:t>acétonitrile</w:t>
      </w:r>
      <w:proofErr w:type="spellEnd"/>
    </w:p>
    <w:p w:rsidR="00634F62" w:rsidRPr="0004778F" w:rsidRDefault="00634F62" w:rsidP="00634F62">
      <w:pPr>
        <w:spacing w:line="360" w:lineRule="auto"/>
        <w:ind w:right="562"/>
        <w:jc w:val="center"/>
        <w:rPr>
          <w:b/>
          <w:bCs/>
          <w:sz w:val="20"/>
          <w:szCs w:val="20"/>
          <w:vertAlign w:val="superscript"/>
        </w:rPr>
      </w:pPr>
      <w:r w:rsidRPr="00FE2E1D">
        <w:rPr>
          <w:b/>
          <w:bCs/>
          <w:sz w:val="20"/>
          <w:szCs w:val="20"/>
        </w:rPr>
        <w:t>(</w:t>
      </w:r>
      <w:proofErr w:type="gramStart"/>
      <w:r w:rsidRPr="00FE2E1D">
        <w:rPr>
          <w:b/>
          <w:bCs/>
          <w:sz w:val="20"/>
          <w:szCs w:val="20"/>
        </w:rPr>
        <w:t>solution</w:t>
      </w:r>
      <w:proofErr w:type="gramEnd"/>
      <w:r w:rsidRPr="00FE2E1D">
        <w:rPr>
          <w:b/>
          <w:bCs/>
          <w:sz w:val="20"/>
          <w:szCs w:val="20"/>
        </w:rPr>
        <w:t xml:space="preserve"> saturée) :</w:t>
      </w:r>
      <w:r>
        <w:t xml:space="preserve"> </w:t>
      </w:r>
      <w:r w:rsidRPr="00FE2E1D">
        <w:rPr>
          <w:b/>
          <w:bCs/>
          <w:sz w:val="20"/>
          <w:szCs w:val="20"/>
        </w:rPr>
        <w:t>Régions 3500-2700 et 1800-400 cm</w:t>
      </w:r>
      <w:r w:rsidRPr="00FE2E1D">
        <w:rPr>
          <w:b/>
          <w:bCs/>
          <w:sz w:val="20"/>
          <w:szCs w:val="20"/>
          <w:vertAlign w:val="superscript"/>
        </w:rPr>
        <w:t>-1</w:t>
      </w:r>
      <w:r>
        <w:rPr>
          <w:b/>
          <w:bCs/>
          <w:sz w:val="20"/>
          <w:szCs w:val="20"/>
        </w:rPr>
        <w:t xml:space="preserve">, </w:t>
      </w:r>
      <w:r>
        <w:rPr>
          <w:b/>
          <w:bCs/>
          <w:sz w:val="20"/>
          <w:szCs w:val="20"/>
          <w:vertAlign w:val="superscript"/>
        </w:rPr>
        <w:t xml:space="preserve">   </w:t>
      </w:r>
      <w:r w:rsidRPr="00FE2E1D">
        <w:rPr>
          <w:b/>
          <w:bCs/>
          <w:sz w:val="20"/>
          <w:szCs w:val="20"/>
        </w:rPr>
        <w:t>(---) absorption du solvant</w:t>
      </w:r>
    </w:p>
    <w:p w:rsidR="00634F62" w:rsidRDefault="00634F62" w:rsidP="00634F62">
      <w:pPr>
        <w:spacing w:line="360" w:lineRule="auto"/>
        <w:ind w:right="-108"/>
        <w:jc w:val="both"/>
      </w:pPr>
      <w:r>
        <w:t xml:space="preserve"> </w:t>
      </w:r>
    </w:p>
    <w:p w:rsidR="00634F62" w:rsidRPr="00FE2E1D" w:rsidRDefault="00634F62" w:rsidP="00634F62">
      <w:pPr>
        <w:spacing w:line="360" w:lineRule="auto"/>
        <w:ind w:right="562"/>
        <w:jc w:val="center"/>
      </w:pPr>
      <w:r>
        <w:rPr>
          <w:noProof/>
        </w:rPr>
        <w:lastRenderedPageBreak/>
        <w:drawing>
          <wp:inline distT="0" distB="0" distL="0" distR="0">
            <wp:extent cx="5086350" cy="5105400"/>
            <wp:effectExtent l="19050" t="0" r="0" b="0"/>
            <wp:docPr id="6" name="Imag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8" cstate="print">
                      <a:lum bright="-42000" contrast="60000"/>
                    </a:blip>
                    <a:srcRect/>
                    <a:stretch>
                      <a:fillRect/>
                    </a:stretch>
                  </pic:blipFill>
                  <pic:spPr bwMode="auto">
                    <a:xfrm>
                      <a:off x="0" y="0"/>
                      <a:ext cx="5086350" cy="5105400"/>
                    </a:xfrm>
                    <a:prstGeom prst="rect">
                      <a:avLst/>
                    </a:prstGeom>
                    <a:noFill/>
                    <a:ln w="9525">
                      <a:noFill/>
                      <a:miter lim="800000"/>
                      <a:headEnd/>
                      <a:tailEnd/>
                    </a:ln>
                  </pic:spPr>
                </pic:pic>
              </a:graphicData>
            </a:graphic>
          </wp:inline>
        </w:drawing>
      </w:r>
    </w:p>
    <w:p w:rsidR="00634F62" w:rsidRDefault="00634F62" w:rsidP="00634F62">
      <w:pPr>
        <w:spacing w:line="360" w:lineRule="auto"/>
        <w:ind w:right="562"/>
        <w:jc w:val="center"/>
        <w:rPr>
          <w:b/>
          <w:bCs/>
          <w:sz w:val="20"/>
          <w:szCs w:val="20"/>
        </w:rPr>
      </w:pPr>
      <w:r w:rsidRPr="0004778F">
        <w:rPr>
          <w:b/>
          <w:bCs/>
          <w:sz w:val="20"/>
          <w:szCs w:val="20"/>
        </w:rPr>
        <w:t>Figure</w:t>
      </w:r>
      <w:r>
        <w:rPr>
          <w:b/>
          <w:bCs/>
          <w:sz w:val="20"/>
          <w:szCs w:val="20"/>
        </w:rPr>
        <w:t xml:space="preserve"> 1.2</w:t>
      </w:r>
      <w:r w:rsidRPr="0004778F">
        <w:rPr>
          <w:b/>
          <w:bCs/>
          <w:sz w:val="20"/>
          <w:szCs w:val="20"/>
        </w:rPr>
        <w:t xml:space="preserve"> : Spectres IR en </w:t>
      </w:r>
      <w:r w:rsidRPr="0004778F">
        <w:rPr>
          <w:b/>
          <w:bCs/>
          <w:sz w:val="20"/>
          <w:szCs w:val="20"/>
        </w:rPr>
        <w:sym w:font="Symbol" w:char="F025"/>
      </w:r>
      <w:r w:rsidRPr="0004778F">
        <w:rPr>
          <w:b/>
          <w:bCs/>
          <w:sz w:val="20"/>
          <w:szCs w:val="20"/>
        </w:rPr>
        <w:t xml:space="preserve"> transmission des solvants usuels enregistrés sous forme de films</w:t>
      </w:r>
    </w:p>
    <w:p w:rsidR="00634F62" w:rsidRPr="0004778F" w:rsidRDefault="00634F62" w:rsidP="00634F62">
      <w:pPr>
        <w:spacing w:line="360" w:lineRule="auto"/>
        <w:ind w:right="562"/>
        <w:jc w:val="center"/>
        <w:rPr>
          <w:b/>
          <w:bCs/>
          <w:sz w:val="20"/>
          <w:szCs w:val="20"/>
        </w:rPr>
      </w:pPr>
    </w:p>
    <w:p w:rsidR="00634F62" w:rsidRDefault="00634F62" w:rsidP="000B5985">
      <w:pPr>
        <w:spacing w:line="360" w:lineRule="auto"/>
        <w:ind w:right="562"/>
        <w:jc w:val="both"/>
      </w:pPr>
      <w:r>
        <w:tab/>
      </w:r>
      <w:r w:rsidRPr="00FE2E1D">
        <w:t>La transparence des solvants en IR et en Raman impose des limites à la méthode.</w:t>
      </w:r>
      <w:r>
        <w:t xml:space="preserve"> </w:t>
      </w:r>
      <w:r w:rsidRPr="00A63BA3">
        <w:t>Ainsi, les solutions aqueuses sont très difficiles à analyser par infrarouge alors qu’en Raman l’eau est un bon solvant.</w:t>
      </w:r>
    </w:p>
    <w:p w:rsidR="00634F62" w:rsidRPr="00727425" w:rsidRDefault="00634F62" w:rsidP="00634F62">
      <w:pPr>
        <w:ind w:right="562"/>
        <w:jc w:val="both"/>
      </w:pPr>
    </w:p>
    <w:p w:rsidR="00634F62" w:rsidRDefault="00634F62" w:rsidP="00634F62">
      <w:pPr>
        <w:spacing w:line="360" w:lineRule="auto"/>
        <w:ind w:right="562"/>
        <w:jc w:val="both"/>
        <w:rPr>
          <w:b/>
          <w:bCs/>
          <w:sz w:val="28"/>
          <w:szCs w:val="28"/>
        </w:rPr>
      </w:pPr>
      <w:r w:rsidRPr="008647F8">
        <w:rPr>
          <w:b/>
          <w:bCs/>
          <w:sz w:val="28"/>
          <w:szCs w:val="28"/>
        </w:rPr>
        <w:t>II - ANALYSE FONCTIONNELLE</w:t>
      </w:r>
      <w:r>
        <w:rPr>
          <w:b/>
          <w:bCs/>
          <w:sz w:val="28"/>
          <w:szCs w:val="28"/>
        </w:rPr>
        <w:t xml:space="preserve"> </w:t>
      </w:r>
    </w:p>
    <w:p w:rsidR="00634F62" w:rsidRPr="00727425" w:rsidRDefault="00634F62" w:rsidP="00634F62">
      <w:pPr>
        <w:spacing w:line="360" w:lineRule="auto"/>
        <w:ind w:right="562"/>
        <w:jc w:val="both"/>
        <w:rPr>
          <w:b/>
          <w:bCs/>
          <w:color w:val="000000"/>
        </w:rPr>
      </w:pPr>
      <w:r w:rsidRPr="00E937C3">
        <w:rPr>
          <w:b/>
          <w:bCs/>
          <w:color w:val="000000"/>
        </w:rPr>
        <w:t>II – 1 – Fréquence de groupe</w:t>
      </w:r>
    </w:p>
    <w:p w:rsidR="00634F62" w:rsidRPr="000B5985" w:rsidRDefault="00634F62" w:rsidP="000B5985">
      <w:pPr>
        <w:spacing w:line="360" w:lineRule="auto"/>
        <w:ind w:right="562"/>
        <w:jc w:val="both"/>
        <w:rPr>
          <w:color w:val="FF0000"/>
        </w:rPr>
      </w:pPr>
      <w:r>
        <w:tab/>
        <w:t xml:space="preserve">Bien que le spectre infrarouge soit caractéristique de la molécule entière, il est vrai que certains groupes d’atomes donnent lieu à des bandes de fréquences voisines quelle que soit la structure du reste de la molécule. De nombreux groupements fonctionnels de molécules organiques présentent ainsi des vibrations caractéristiques, qui correspondent aux bandes d’absorption dans des régions définies du spectre infrarouge. </w:t>
      </w:r>
    </w:p>
    <w:p w:rsidR="00634F62" w:rsidRPr="003E0913" w:rsidRDefault="00634F62" w:rsidP="00634F62">
      <w:pPr>
        <w:ind w:right="562"/>
        <w:jc w:val="both"/>
        <w:rPr>
          <w:b/>
          <w:bCs/>
        </w:rPr>
      </w:pPr>
      <w:r w:rsidRPr="00F83C82">
        <w:rPr>
          <w:b/>
          <w:bCs/>
        </w:rPr>
        <w:lastRenderedPageBreak/>
        <w:t xml:space="preserve">II – </w:t>
      </w:r>
      <w:r w:rsidRPr="00E937C3">
        <w:rPr>
          <w:b/>
          <w:bCs/>
          <w:color w:val="000000"/>
        </w:rPr>
        <w:t>2 –</w:t>
      </w:r>
      <w:r w:rsidRPr="00F83C82">
        <w:rPr>
          <w:b/>
          <w:bCs/>
        </w:rPr>
        <w:t xml:space="preserve"> Couplage des oscillations </w:t>
      </w:r>
    </w:p>
    <w:p w:rsidR="00634F62" w:rsidRDefault="00634F62" w:rsidP="00634F62">
      <w:pPr>
        <w:spacing w:line="360" w:lineRule="auto"/>
        <w:ind w:right="562"/>
        <w:jc w:val="both"/>
      </w:pPr>
      <w:r>
        <w:tab/>
      </w:r>
      <w:r w:rsidRPr="00F82854">
        <w:t xml:space="preserve">Au  cours d’une vibration de fréquence </w:t>
      </w:r>
      <w:proofErr w:type="spellStart"/>
      <w:r w:rsidRPr="00F82854">
        <w:t>ν</w:t>
      </w:r>
      <w:r w:rsidRPr="00F82854">
        <w:rPr>
          <w:vertAlign w:val="subscript"/>
        </w:rPr>
        <w:t>i</w:t>
      </w:r>
      <w:proofErr w:type="spellEnd"/>
      <w:r w:rsidRPr="00F82854">
        <w:t>, chaque noyau de</w:t>
      </w:r>
      <w:r>
        <w:t xml:space="preserve"> la</w:t>
      </w:r>
      <w:r w:rsidRPr="00F82854">
        <w:t xml:space="preserve"> molécule </w:t>
      </w:r>
      <w:r>
        <w:t>vibre</w:t>
      </w:r>
      <w:r w:rsidRPr="00F82854">
        <w:t xml:space="preserve"> en phase mais avec une amplitude relative qui lui est propre. Cette amplitude relative varie avec la vibration considérée et dépend de la forme de la vibration.</w:t>
      </w:r>
      <w:r>
        <w:rPr>
          <w:color w:val="FF6600"/>
        </w:rPr>
        <w:t xml:space="preserve"> </w:t>
      </w:r>
      <w:r>
        <w:t>C</w:t>
      </w:r>
      <w:r w:rsidRPr="00CE38A9">
        <w:t>ertaines de ces vibrations de groupe entraînent  surtout des élongations de liaisons, on les appelle vibrations de valence ; d’autres se tr</w:t>
      </w:r>
      <w:r>
        <w:t>aduisent par des déformations angulaires</w:t>
      </w:r>
      <w:r w:rsidRPr="006A0E15">
        <w:t>,</w:t>
      </w:r>
      <w:r w:rsidRPr="009C68C9">
        <w:rPr>
          <w:color w:val="FF6600"/>
        </w:rPr>
        <w:t xml:space="preserve"> </w:t>
      </w:r>
      <w:r w:rsidRPr="00CE38A9">
        <w:t>on les appelle vibration de déformation.</w:t>
      </w:r>
    </w:p>
    <w:p w:rsidR="00634F62" w:rsidRDefault="00634F62" w:rsidP="00634F62">
      <w:pPr>
        <w:spacing w:line="360" w:lineRule="auto"/>
        <w:ind w:right="562"/>
        <w:jc w:val="both"/>
        <w:rPr>
          <w:color w:val="FF6600"/>
        </w:rPr>
      </w:pPr>
      <w:r>
        <w:rPr>
          <w:color w:val="000000"/>
        </w:rPr>
        <w:tab/>
      </w:r>
      <w:r w:rsidRPr="00284228">
        <w:rPr>
          <w:color w:val="000000"/>
        </w:rPr>
        <w:t>On peut illustrer ces remarques en examinant par exemple les vibrations des groupes les plus courants de la chimie organique, le groupe CH</w:t>
      </w:r>
      <w:r w:rsidRPr="00284228">
        <w:rPr>
          <w:color w:val="000000"/>
          <w:vertAlign w:val="subscript"/>
        </w:rPr>
        <w:t>2</w:t>
      </w:r>
      <w:r w:rsidRPr="00284228">
        <w:rPr>
          <w:color w:val="000000"/>
        </w:rPr>
        <w:t xml:space="preserve"> et le groupe CH</w:t>
      </w:r>
      <w:r w:rsidRPr="00284228">
        <w:rPr>
          <w:color w:val="000000"/>
          <w:vertAlign w:val="subscript"/>
        </w:rPr>
        <w:t>3</w:t>
      </w:r>
      <w:r>
        <w:rPr>
          <w:color w:val="000000"/>
        </w:rPr>
        <w:t>.</w:t>
      </w:r>
    </w:p>
    <w:p w:rsidR="00634F62" w:rsidRPr="00936CD8" w:rsidRDefault="00634F62" w:rsidP="00634F62">
      <w:pPr>
        <w:spacing w:after="100" w:afterAutospacing="1" w:line="360" w:lineRule="auto"/>
        <w:ind w:right="562"/>
        <w:jc w:val="both"/>
        <w:rPr>
          <w:color w:val="FF6600"/>
        </w:rPr>
      </w:pPr>
      <w:r>
        <w:rPr>
          <w:color w:val="000000"/>
        </w:rPr>
        <w:t>L</w:t>
      </w:r>
      <w:r w:rsidRPr="00284228">
        <w:rPr>
          <w:color w:val="000000"/>
        </w:rPr>
        <w:t xml:space="preserve">es vibrations </w:t>
      </w:r>
      <w:r>
        <w:rPr>
          <w:color w:val="000000"/>
        </w:rPr>
        <w:t>du groupe CH</w:t>
      </w:r>
      <w:r w:rsidRPr="00C93E5B">
        <w:rPr>
          <w:color w:val="000000"/>
          <w:vertAlign w:val="subscript"/>
        </w:rPr>
        <w:t>2</w:t>
      </w:r>
      <w:r>
        <w:rPr>
          <w:color w:val="000000"/>
        </w:rPr>
        <w:t xml:space="preserve"> </w:t>
      </w:r>
      <w:r w:rsidRPr="00284228">
        <w:rPr>
          <w:color w:val="000000"/>
        </w:rPr>
        <w:t>sont données ci-dessous :</w:t>
      </w:r>
    </w:p>
    <w:p w:rsidR="00634F62" w:rsidRDefault="00E64DFC" w:rsidP="00634F62">
      <w:pPr>
        <w:ind w:right="562"/>
        <w:jc w:val="center"/>
        <w:rPr>
          <w:color w:val="FF6600"/>
        </w:rPr>
      </w:pPr>
      <w:r>
        <w:rPr>
          <w:noProof/>
          <w:color w:val="FF6600"/>
        </w:rPr>
        <w:drawing>
          <wp:inline distT="0" distB="0" distL="0" distR="0">
            <wp:extent cx="3905250" cy="2409825"/>
            <wp:effectExtent l="19050" t="0" r="0" b="0"/>
            <wp:docPr id="42" name="Imag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9" cstate="print"/>
                    <a:srcRect/>
                    <a:stretch>
                      <a:fillRect/>
                    </a:stretch>
                  </pic:blipFill>
                  <pic:spPr bwMode="auto">
                    <a:xfrm>
                      <a:off x="0" y="0"/>
                      <a:ext cx="3905250" cy="2409825"/>
                    </a:xfrm>
                    <a:prstGeom prst="rect">
                      <a:avLst/>
                    </a:prstGeom>
                    <a:noFill/>
                    <a:ln w="9525">
                      <a:noFill/>
                      <a:miter lim="800000"/>
                      <a:headEnd/>
                      <a:tailEnd/>
                    </a:ln>
                  </pic:spPr>
                </pic:pic>
              </a:graphicData>
            </a:graphic>
          </wp:inline>
        </w:drawing>
      </w:r>
    </w:p>
    <w:p w:rsidR="00634F62" w:rsidRPr="00634F62" w:rsidRDefault="00634F62" w:rsidP="00634F62">
      <w:pPr>
        <w:spacing w:line="360" w:lineRule="auto"/>
        <w:ind w:right="281" w:firstLine="540"/>
        <w:jc w:val="center"/>
      </w:pPr>
      <w:r w:rsidRPr="002B2409">
        <w:t>Quelques vibrations du groupe CH</w:t>
      </w:r>
      <w:r w:rsidRPr="002B2409">
        <w:rPr>
          <w:vertAlign w:val="subscript"/>
        </w:rPr>
        <w:t>3</w:t>
      </w:r>
      <w:r w:rsidRPr="002B2409">
        <w:t xml:space="preserve"> sont données sur la figure suivante. La déformation totalement symétrique à 1300 cm</w:t>
      </w:r>
      <w:r w:rsidRPr="002B2409">
        <w:rPr>
          <w:vertAlign w:val="superscript"/>
        </w:rPr>
        <w:t>-1</w:t>
      </w:r>
      <w:r w:rsidRPr="002B2409">
        <w:t xml:space="preserve"> est caractéristique d’un groupement CH</w:t>
      </w:r>
      <w:r w:rsidRPr="002B2409">
        <w:rPr>
          <w:vertAlign w:val="subscript"/>
        </w:rPr>
        <w:t>3</w:t>
      </w:r>
      <w:r w:rsidR="000B5985">
        <w:rPr>
          <w:noProof/>
          <w:color w:val="FF6600"/>
        </w:rPr>
        <w:drawing>
          <wp:inline distT="0" distB="0" distL="0" distR="0">
            <wp:extent cx="3771900" cy="1876425"/>
            <wp:effectExtent l="19050" t="0" r="0" b="0"/>
            <wp:docPr id="43" name="Imag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10" cstate="print"/>
                    <a:srcRect/>
                    <a:stretch>
                      <a:fillRect/>
                    </a:stretch>
                  </pic:blipFill>
                  <pic:spPr bwMode="auto">
                    <a:xfrm>
                      <a:off x="0" y="0"/>
                      <a:ext cx="3771900" cy="1876425"/>
                    </a:xfrm>
                    <a:prstGeom prst="rect">
                      <a:avLst/>
                    </a:prstGeom>
                    <a:noFill/>
                    <a:ln w="9525">
                      <a:noFill/>
                      <a:miter lim="800000"/>
                      <a:headEnd/>
                      <a:tailEnd/>
                    </a:ln>
                  </pic:spPr>
                </pic:pic>
              </a:graphicData>
            </a:graphic>
          </wp:inline>
        </w:drawing>
      </w:r>
    </w:p>
    <w:p w:rsidR="00634F62" w:rsidRDefault="00634F62" w:rsidP="00634F62">
      <w:pPr>
        <w:spacing w:line="360" w:lineRule="auto"/>
        <w:ind w:right="562"/>
        <w:jc w:val="both"/>
        <w:rPr>
          <w:b/>
          <w:bCs/>
        </w:rPr>
      </w:pPr>
      <w:r w:rsidRPr="00E937C3">
        <w:rPr>
          <w:b/>
          <w:bCs/>
        </w:rPr>
        <w:t>II – 3 – Fréquences caractéristiques</w:t>
      </w:r>
    </w:p>
    <w:p w:rsidR="00634F62" w:rsidRDefault="00634F62" w:rsidP="00634F62">
      <w:pPr>
        <w:spacing w:line="360" w:lineRule="auto"/>
        <w:ind w:right="562"/>
        <w:jc w:val="both"/>
      </w:pPr>
      <w:r>
        <w:tab/>
        <w:t>Une fréquence est dite fréquence caractéristique quand elle est présente dans tous les composés qui contiennent ce même élément de structure.</w:t>
      </w:r>
    </w:p>
    <w:p w:rsidR="00634F62" w:rsidRDefault="00634F62" w:rsidP="000B5985">
      <w:pPr>
        <w:spacing w:line="360" w:lineRule="auto"/>
        <w:ind w:right="562"/>
        <w:jc w:val="both"/>
      </w:pPr>
      <w:r>
        <w:t>Par exemple, les vibrations de valence des liaisons C</w:t>
      </w:r>
      <w:r>
        <w:sym w:font="Symbol" w:char="F0BE"/>
      </w:r>
      <w:r>
        <w:t>H dans les composés qui comportent des groupements CH</w:t>
      </w:r>
      <w:r w:rsidRPr="00A8670D">
        <w:rPr>
          <w:vertAlign w:val="subscript"/>
        </w:rPr>
        <w:t>3</w:t>
      </w:r>
      <w:r>
        <w:t>, CH</w:t>
      </w:r>
      <w:r>
        <w:rPr>
          <w:vertAlign w:val="subscript"/>
        </w:rPr>
        <w:t>2</w:t>
      </w:r>
      <w:r>
        <w:t xml:space="preserve">, CH ont des fréquences caractéristiques propres </w:t>
      </w:r>
      <w:r>
        <w:lastRenderedPageBreak/>
        <w:t>à ces groupes dont les fréquences et les intensités attendues sont reportées dans le tableau ci-dessous :</w:t>
      </w:r>
    </w:p>
    <w:p w:rsidR="00634F62" w:rsidRDefault="00634F62" w:rsidP="00634F62">
      <w:pPr>
        <w:ind w:right="562"/>
        <w:jc w:val="center"/>
        <w:rPr>
          <w:b/>
          <w:bCs/>
        </w:rPr>
      </w:pPr>
      <w:r w:rsidRPr="0015129D">
        <w:rPr>
          <w:b/>
          <w:bCs/>
        </w:rPr>
        <w:t>Tableau </w:t>
      </w:r>
      <w:r>
        <w:rPr>
          <w:b/>
          <w:bCs/>
        </w:rPr>
        <w:t>1</w:t>
      </w:r>
      <w:r w:rsidRPr="0015129D">
        <w:rPr>
          <w:b/>
          <w:bCs/>
        </w:rPr>
        <w:t>: Intensités et fréquences caractéristiques des bandes reliées aux groupements CH</w:t>
      </w:r>
      <w:r w:rsidRPr="0015129D">
        <w:rPr>
          <w:b/>
          <w:bCs/>
          <w:vertAlign w:val="subscript"/>
        </w:rPr>
        <w:t>3</w:t>
      </w:r>
      <w:r w:rsidRPr="0015129D">
        <w:rPr>
          <w:b/>
          <w:bCs/>
        </w:rPr>
        <w:t>, CH</w:t>
      </w:r>
      <w:r w:rsidRPr="0015129D">
        <w:rPr>
          <w:b/>
          <w:bCs/>
          <w:vertAlign w:val="subscript"/>
        </w:rPr>
        <w:t>2</w:t>
      </w:r>
      <w:r w:rsidRPr="0015129D">
        <w:rPr>
          <w:b/>
          <w:bCs/>
        </w:rPr>
        <w:t>, CH</w:t>
      </w:r>
    </w:p>
    <w:p w:rsidR="00634F62" w:rsidRPr="0015129D" w:rsidRDefault="00634F62" w:rsidP="00634F62">
      <w:pPr>
        <w:ind w:right="562"/>
        <w:jc w:val="center"/>
        <w:rPr>
          <w:b/>
          <w:bCs/>
        </w:rPr>
      </w:pPr>
    </w:p>
    <w:tbl>
      <w:tblPr>
        <w:tblStyle w:val="Grilledutableau"/>
        <w:tblW w:w="0" w:type="auto"/>
        <w:tblInd w:w="468" w:type="dxa"/>
        <w:tblLook w:val="01E0"/>
      </w:tblPr>
      <w:tblGrid>
        <w:gridCol w:w="1800"/>
        <w:gridCol w:w="2160"/>
        <w:gridCol w:w="2700"/>
        <w:gridCol w:w="1980"/>
      </w:tblGrid>
      <w:tr w:rsidR="00634F62" w:rsidTr="00634F62">
        <w:tc>
          <w:tcPr>
            <w:tcW w:w="1800" w:type="dxa"/>
          </w:tcPr>
          <w:p w:rsidR="00634F62" w:rsidRDefault="00634F62" w:rsidP="00634F62">
            <w:pPr>
              <w:tabs>
                <w:tab w:val="left" w:pos="1584"/>
              </w:tabs>
              <w:spacing w:line="360" w:lineRule="auto"/>
              <w:ind w:right="562"/>
              <w:jc w:val="center"/>
            </w:pPr>
            <w:r>
              <w:t>Groupe</w:t>
            </w:r>
          </w:p>
        </w:tc>
        <w:tc>
          <w:tcPr>
            <w:tcW w:w="2160" w:type="dxa"/>
          </w:tcPr>
          <w:p w:rsidR="00634F62" w:rsidRDefault="00634F62" w:rsidP="00634F62">
            <w:pPr>
              <w:spacing w:line="360" w:lineRule="auto"/>
              <w:ind w:right="562"/>
              <w:jc w:val="center"/>
            </w:pPr>
            <w:r>
              <w:t>vibration</w:t>
            </w:r>
          </w:p>
        </w:tc>
        <w:tc>
          <w:tcPr>
            <w:tcW w:w="2700" w:type="dxa"/>
          </w:tcPr>
          <w:p w:rsidR="00634F62" w:rsidRDefault="00634F62" w:rsidP="00634F62">
            <w:pPr>
              <w:tabs>
                <w:tab w:val="left" w:pos="2484"/>
              </w:tabs>
              <w:spacing w:line="360" w:lineRule="auto"/>
              <w:ind w:right="562"/>
              <w:jc w:val="center"/>
            </w:pPr>
            <w:r>
              <w:t>Fréquence</w:t>
            </w:r>
          </w:p>
        </w:tc>
        <w:tc>
          <w:tcPr>
            <w:tcW w:w="1980" w:type="dxa"/>
          </w:tcPr>
          <w:p w:rsidR="00634F62" w:rsidRDefault="00634F62" w:rsidP="00634F62">
            <w:pPr>
              <w:spacing w:line="360" w:lineRule="auto"/>
              <w:ind w:right="562"/>
              <w:jc w:val="center"/>
            </w:pPr>
            <w:r>
              <w:t>Intensité IR</w:t>
            </w:r>
          </w:p>
        </w:tc>
      </w:tr>
      <w:tr w:rsidR="00634F62" w:rsidRPr="005A4A4A" w:rsidTr="00634F62">
        <w:tc>
          <w:tcPr>
            <w:tcW w:w="1800" w:type="dxa"/>
          </w:tcPr>
          <w:p w:rsidR="00634F62" w:rsidRPr="00880914" w:rsidRDefault="00634F62" w:rsidP="00634F62">
            <w:pPr>
              <w:spacing w:line="360" w:lineRule="auto"/>
              <w:ind w:right="562"/>
              <w:jc w:val="center"/>
              <w:rPr>
                <w:lang w:val="en-GB"/>
              </w:rPr>
            </w:pPr>
            <w:r>
              <w:sym w:font="Symbol" w:char="F0BE"/>
            </w:r>
            <w:r w:rsidRPr="00880914">
              <w:rPr>
                <w:lang w:val="en-GB"/>
              </w:rPr>
              <w:t xml:space="preserve"> CH</w:t>
            </w:r>
            <w:r w:rsidRPr="00880914">
              <w:rPr>
                <w:vertAlign w:val="subscript"/>
                <w:lang w:val="en-GB"/>
              </w:rPr>
              <w:t>3</w:t>
            </w:r>
          </w:p>
          <w:p w:rsidR="00634F62" w:rsidRPr="00880914" w:rsidRDefault="00634F62" w:rsidP="00634F62">
            <w:pPr>
              <w:spacing w:line="360" w:lineRule="auto"/>
              <w:ind w:right="562"/>
              <w:jc w:val="center"/>
              <w:rPr>
                <w:lang w:val="en-GB"/>
              </w:rPr>
            </w:pPr>
            <w:r>
              <w:sym w:font="Symbol" w:char="F0BE"/>
            </w:r>
            <w:r w:rsidRPr="00880914">
              <w:rPr>
                <w:lang w:val="en-GB"/>
              </w:rPr>
              <w:t xml:space="preserve"> CH</w:t>
            </w:r>
            <w:r>
              <w:rPr>
                <w:vertAlign w:val="subscript"/>
                <w:lang w:val="en-GB"/>
              </w:rPr>
              <w:t>2</w:t>
            </w:r>
          </w:p>
          <w:p w:rsidR="00634F62" w:rsidRPr="00880914" w:rsidRDefault="00634F62" w:rsidP="00634F62">
            <w:pPr>
              <w:spacing w:line="360" w:lineRule="auto"/>
              <w:ind w:right="562"/>
              <w:jc w:val="center"/>
              <w:rPr>
                <w:lang w:val="en-GB"/>
              </w:rPr>
            </w:pPr>
            <w:r>
              <w:sym w:font="Symbol" w:char="F0BE"/>
            </w:r>
            <w:r w:rsidRPr="00880914">
              <w:rPr>
                <w:lang w:val="en-GB"/>
              </w:rPr>
              <w:t xml:space="preserve"> CH</w:t>
            </w:r>
          </w:p>
          <w:p w:rsidR="00634F62" w:rsidRPr="00880914" w:rsidRDefault="00634F62" w:rsidP="00634F62">
            <w:pPr>
              <w:spacing w:line="360" w:lineRule="auto"/>
              <w:ind w:right="562"/>
              <w:jc w:val="center"/>
              <w:rPr>
                <w:lang w:val="en-GB"/>
              </w:rPr>
            </w:pPr>
            <w:r>
              <w:sym w:font="Symbol" w:char="F0BE"/>
            </w:r>
            <w:r w:rsidRPr="00880914">
              <w:rPr>
                <w:lang w:val="en-GB"/>
              </w:rPr>
              <w:t xml:space="preserve"> CH</w:t>
            </w:r>
            <w:r w:rsidRPr="00880914">
              <w:rPr>
                <w:vertAlign w:val="subscript"/>
                <w:lang w:val="en-GB"/>
              </w:rPr>
              <w:t>3</w:t>
            </w:r>
          </w:p>
          <w:p w:rsidR="00634F62" w:rsidRPr="00880914" w:rsidRDefault="00634F62" w:rsidP="00634F62">
            <w:pPr>
              <w:spacing w:line="360" w:lineRule="auto"/>
              <w:ind w:right="562"/>
              <w:jc w:val="center"/>
              <w:rPr>
                <w:lang w:val="en-GB"/>
              </w:rPr>
            </w:pPr>
            <w:r>
              <w:sym w:font="Symbol" w:char="F0BE"/>
            </w:r>
            <w:r w:rsidRPr="00880914">
              <w:rPr>
                <w:lang w:val="en-GB"/>
              </w:rPr>
              <w:t xml:space="preserve"> CH</w:t>
            </w:r>
            <w:r>
              <w:rPr>
                <w:vertAlign w:val="subscript"/>
                <w:lang w:val="en-GB"/>
              </w:rPr>
              <w:t>2</w:t>
            </w:r>
          </w:p>
        </w:tc>
        <w:tc>
          <w:tcPr>
            <w:tcW w:w="2160" w:type="dxa"/>
          </w:tcPr>
          <w:p w:rsidR="00634F62" w:rsidRDefault="00634F62" w:rsidP="00634F62">
            <w:pPr>
              <w:spacing w:line="360" w:lineRule="auto"/>
              <w:ind w:right="562"/>
              <w:jc w:val="center"/>
              <w:rPr>
                <w:lang w:val="en-GB"/>
              </w:rPr>
            </w:pPr>
            <w:r>
              <w:rPr>
                <w:lang w:val="en-GB"/>
              </w:rPr>
              <w:sym w:font="Symbol" w:char="F06E"/>
            </w:r>
            <w:r>
              <w:rPr>
                <w:vertAlign w:val="subscript"/>
                <w:lang w:val="en-GB"/>
              </w:rPr>
              <w:t>a</w:t>
            </w:r>
            <w:r>
              <w:rPr>
                <w:lang w:val="en-GB"/>
              </w:rPr>
              <w:t>(</w:t>
            </w:r>
            <w:r w:rsidRPr="00880914">
              <w:rPr>
                <w:lang w:val="en-GB"/>
              </w:rPr>
              <w:t xml:space="preserve"> CH</w:t>
            </w:r>
            <w:r w:rsidRPr="00880914">
              <w:rPr>
                <w:vertAlign w:val="subscript"/>
                <w:lang w:val="en-GB"/>
              </w:rPr>
              <w:t>3</w:t>
            </w:r>
            <w:r>
              <w:rPr>
                <w:lang w:val="en-GB"/>
              </w:rPr>
              <w:t>)</w:t>
            </w:r>
          </w:p>
          <w:p w:rsidR="00634F62" w:rsidRDefault="00634F62" w:rsidP="00634F62">
            <w:pPr>
              <w:spacing w:line="360" w:lineRule="auto"/>
              <w:ind w:right="562"/>
              <w:jc w:val="center"/>
              <w:rPr>
                <w:lang w:val="en-GB"/>
              </w:rPr>
            </w:pPr>
            <w:r>
              <w:rPr>
                <w:lang w:val="en-GB"/>
              </w:rPr>
              <w:sym w:font="Symbol" w:char="F06E"/>
            </w:r>
            <w:r>
              <w:rPr>
                <w:vertAlign w:val="subscript"/>
                <w:lang w:val="en-GB"/>
              </w:rPr>
              <w:t>a</w:t>
            </w:r>
            <w:r>
              <w:rPr>
                <w:lang w:val="en-GB"/>
              </w:rPr>
              <w:t>(</w:t>
            </w:r>
            <w:r w:rsidRPr="00880914">
              <w:rPr>
                <w:lang w:val="en-GB"/>
              </w:rPr>
              <w:t xml:space="preserve"> CH</w:t>
            </w:r>
            <w:r>
              <w:rPr>
                <w:vertAlign w:val="subscript"/>
                <w:lang w:val="en-GB"/>
              </w:rPr>
              <w:t>2</w:t>
            </w:r>
            <w:r>
              <w:rPr>
                <w:lang w:val="en-GB"/>
              </w:rPr>
              <w:t>)</w:t>
            </w:r>
          </w:p>
          <w:p w:rsidR="00634F62" w:rsidRDefault="00634F62" w:rsidP="00634F62">
            <w:pPr>
              <w:spacing w:line="360" w:lineRule="auto"/>
              <w:ind w:right="562"/>
              <w:jc w:val="center"/>
              <w:rPr>
                <w:lang w:val="en-GB"/>
              </w:rPr>
            </w:pPr>
            <w:r>
              <w:rPr>
                <w:lang w:val="en-GB"/>
              </w:rPr>
              <w:sym w:font="Symbol" w:char="F06E"/>
            </w:r>
            <w:r>
              <w:rPr>
                <w:lang w:val="en-GB"/>
              </w:rPr>
              <w:t>(</w:t>
            </w:r>
            <w:r w:rsidRPr="00880914">
              <w:rPr>
                <w:lang w:val="en-GB"/>
              </w:rPr>
              <w:t xml:space="preserve"> CH</w:t>
            </w:r>
            <w:r>
              <w:rPr>
                <w:lang w:val="en-GB"/>
              </w:rPr>
              <w:t>)</w:t>
            </w:r>
          </w:p>
          <w:p w:rsidR="00634F62" w:rsidRDefault="00634F62" w:rsidP="00634F62">
            <w:pPr>
              <w:spacing w:line="360" w:lineRule="auto"/>
              <w:ind w:right="562"/>
              <w:jc w:val="center"/>
              <w:rPr>
                <w:lang w:val="en-GB"/>
              </w:rPr>
            </w:pPr>
            <w:r>
              <w:rPr>
                <w:lang w:val="en-GB"/>
              </w:rPr>
              <w:sym w:font="Symbol" w:char="F06E"/>
            </w:r>
            <w:r>
              <w:rPr>
                <w:vertAlign w:val="subscript"/>
                <w:lang w:val="en-GB"/>
              </w:rPr>
              <w:t>s</w:t>
            </w:r>
            <w:r>
              <w:rPr>
                <w:lang w:val="en-GB"/>
              </w:rPr>
              <w:t>(</w:t>
            </w:r>
            <w:r w:rsidRPr="00880914">
              <w:rPr>
                <w:lang w:val="en-GB"/>
              </w:rPr>
              <w:t xml:space="preserve"> CH</w:t>
            </w:r>
            <w:r w:rsidRPr="00880914">
              <w:rPr>
                <w:vertAlign w:val="subscript"/>
                <w:lang w:val="en-GB"/>
              </w:rPr>
              <w:t>3</w:t>
            </w:r>
            <w:r>
              <w:rPr>
                <w:lang w:val="en-GB"/>
              </w:rPr>
              <w:t>)</w:t>
            </w:r>
          </w:p>
          <w:p w:rsidR="00634F62" w:rsidRPr="00880914" w:rsidRDefault="00634F62" w:rsidP="00634F62">
            <w:pPr>
              <w:spacing w:line="360" w:lineRule="auto"/>
              <w:ind w:right="562"/>
              <w:jc w:val="center"/>
              <w:rPr>
                <w:lang w:val="en-GB"/>
              </w:rPr>
            </w:pPr>
            <w:r>
              <w:rPr>
                <w:lang w:val="en-GB"/>
              </w:rPr>
              <w:sym w:font="Symbol" w:char="F06E"/>
            </w:r>
            <w:r>
              <w:rPr>
                <w:vertAlign w:val="subscript"/>
                <w:lang w:val="en-GB"/>
              </w:rPr>
              <w:t>s</w:t>
            </w:r>
            <w:r>
              <w:rPr>
                <w:lang w:val="en-GB"/>
              </w:rPr>
              <w:t>(</w:t>
            </w:r>
            <w:r w:rsidRPr="00880914">
              <w:rPr>
                <w:lang w:val="en-GB"/>
              </w:rPr>
              <w:t xml:space="preserve"> CH</w:t>
            </w:r>
            <w:r>
              <w:rPr>
                <w:vertAlign w:val="subscript"/>
                <w:lang w:val="en-GB"/>
              </w:rPr>
              <w:t>2</w:t>
            </w:r>
            <w:r>
              <w:rPr>
                <w:lang w:val="en-GB"/>
              </w:rPr>
              <w:t>)</w:t>
            </w:r>
          </w:p>
        </w:tc>
        <w:tc>
          <w:tcPr>
            <w:tcW w:w="2700" w:type="dxa"/>
          </w:tcPr>
          <w:p w:rsidR="00634F62" w:rsidRDefault="00634F62" w:rsidP="00634F62">
            <w:pPr>
              <w:spacing w:line="360" w:lineRule="auto"/>
              <w:ind w:right="562"/>
              <w:jc w:val="center"/>
              <w:rPr>
                <w:vertAlign w:val="superscript"/>
                <w:lang w:val="en-GB"/>
              </w:rPr>
            </w:pPr>
            <w:r>
              <w:rPr>
                <w:lang w:val="en-GB"/>
              </w:rPr>
              <w:t xml:space="preserve">2962 </w:t>
            </w:r>
            <w:r>
              <w:rPr>
                <w:lang w:val="en-GB"/>
              </w:rPr>
              <w:sym w:font="Symbol" w:char="F0B1"/>
            </w:r>
            <w:r>
              <w:rPr>
                <w:lang w:val="en-GB"/>
              </w:rPr>
              <w:t xml:space="preserve"> 10 cm</w:t>
            </w:r>
            <w:r w:rsidRPr="00880914">
              <w:rPr>
                <w:vertAlign w:val="superscript"/>
                <w:lang w:val="en-GB"/>
              </w:rPr>
              <w:t>-1</w:t>
            </w:r>
          </w:p>
          <w:p w:rsidR="00634F62" w:rsidRDefault="00634F62" w:rsidP="00634F62">
            <w:pPr>
              <w:spacing w:line="360" w:lineRule="auto"/>
              <w:ind w:right="562"/>
              <w:jc w:val="center"/>
              <w:rPr>
                <w:vertAlign w:val="superscript"/>
                <w:lang w:val="en-GB"/>
              </w:rPr>
            </w:pPr>
            <w:r>
              <w:rPr>
                <w:lang w:val="en-GB"/>
              </w:rPr>
              <w:t xml:space="preserve">2926 </w:t>
            </w:r>
            <w:r>
              <w:rPr>
                <w:lang w:val="en-GB"/>
              </w:rPr>
              <w:sym w:font="Symbol" w:char="F0B1"/>
            </w:r>
            <w:r>
              <w:rPr>
                <w:lang w:val="en-GB"/>
              </w:rPr>
              <w:t xml:space="preserve"> 10 cm</w:t>
            </w:r>
            <w:r w:rsidRPr="00880914">
              <w:rPr>
                <w:vertAlign w:val="superscript"/>
                <w:lang w:val="en-GB"/>
              </w:rPr>
              <w:t>-1</w:t>
            </w:r>
          </w:p>
          <w:p w:rsidR="00634F62" w:rsidRDefault="00634F62" w:rsidP="00634F62">
            <w:pPr>
              <w:spacing w:line="360" w:lineRule="auto"/>
              <w:ind w:right="562"/>
              <w:jc w:val="center"/>
              <w:rPr>
                <w:vertAlign w:val="superscript"/>
                <w:lang w:val="en-GB"/>
              </w:rPr>
            </w:pPr>
            <w:r>
              <w:rPr>
                <w:lang w:val="en-GB"/>
              </w:rPr>
              <w:t xml:space="preserve">2890 </w:t>
            </w:r>
            <w:r>
              <w:rPr>
                <w:lang w:val="en-GB"/>
              </w:rPr>
              <w:sym w:font="Symbol" w:char="F0B1"/>
            </w:r>
            <w:r>
              <w:rPr>
                <w:lang w:val="en-GB"/>
              </w:rPr>
              <w:t xml:space="preserve"> 10 cm</w:t>
            </w:r>
            <w:r w:rsidRPr="00880914">
              <w:rPr>
                <w:vertAlign w:val="superscript"/>
                <w:lang w:val="en-GB"/>
              </w:rPr>
              <w:t>-1</w:t>
            </w:r>
          </w:p>
          <w:p w:rsidR="00634F62" w:rsidRDefault="00634F62" w:rsidP="00634F62">
            <w:pPr>
              <w:spacing w:line="360" w:lineRule="auto"/>
              <w:ind w:right="562"/>
              <w:jc w:val="center"/>
              <w:rPr>
                <w:vertAlign w:val="superscript"/>
                <w:lang w:val="en-GB"/>
              </w:rPr>
            </w:pPr>
            <w:r>
              <w:rPr>
                <w:lang w:val="en-GB"/>
              </w:rPr>
              <w:t xml:space="preserve">2872 </w:t>
            </w:r>
            <w:r>
              <w:rPr>
                <w:lang w:val="en-GB"/>
              </w:rPr>
              <w:sym w:font="Symbol" w:char="F0B1"/>
            </w:r>
            <w:r>
              <w:rPr>
                <w:lang w:val="en-GB"/>
              </w:rPr>
              <w:t xml:space="preserve"> 10 cm</w:t>
            </w:r>
            <w:r w:rsidRPr="00880914">
              <w:rPr>
                <w:vertAlign w:val="superscript"/>
                <w:lang w:val="en-GB"/>
              </w:rPr>
              <w:t>-1</w:t>
            </w:r>
          </w:p>
          <w:p w:rsidR="00634F62" w:rsidRPr="00880914" w:rsidRDefault="00634F62" w:rsidP="00634F62">
            <w:pPr>
              <w:spacing w:line="360" w:lineRule="auto"/>
              <w:ind w:right="562"/>
              <w:jc w:val="center"/>
              <w:rPr>
                <w:lang w:val="en-GB"/>
              </w:rPr>
            </w:pPr>
            <w:r>
              <w:rPr>
                <w:lang w:val="en-GB"/>
              </w:rPr>
              <w:t xml:space="preserve">2853 </w:t>
            </w:r>
            <w:r>
              <w:rPr>
                <w:lang w:val="en-GB"/>
              </w:rPr>
              <w:sym w:font="Symbol" w:char="F0B1"/>
            </w:r>
            <w:r>
              <w:rPr>
                <w:lang w:val="en-GB"/>
              </w:rPr>
              <w:t xml:space="preserve"> 10 cm</w:t>
            </w:r>
            <w:r w:rsidRPr="00880914">
              <w:rPr>
                <w:vertAlign w:val="superscript"/>
                <w:lang w:val="en-GB"/>
              </w:rPr>
              <w:t>-1</w:t>
            </w:r>
          </w:p>
        </w:tc>
        <w:tc>
          <w:tcPr>
            <w:tcW w:w="1980" w:type="dxa"/>
          </w:tcPr>
          <w:p w:rsidR="00634F62" w:rsidRPr="005A4A4A" w:rsidRDefault="00634F62" w:rsidP="00634F62">
            <w:pPr>
              <w:tabs>
                <w:tab w:val="left" w:pos="1512"/>
                <w:tab w:val="left" w:pos="1692"/>
                <w:tab w:val="left" w:pos="1764"/>
              </w:tabs>
              <w:spacing w:line="360" w:lineRule="auto"/>
              <w:ind w:right="562"/>
              <w:jc w:val="center"/>
            </w:pPr>
            <w:r w:rsidRPr="005A4A4A">
              <w:t>Forte</w:t>
            </w:r>
          </w:p>
          <w:p w:rsidR="00634F62" w:rsidRPr="005A4A4A" w:rsidRDefault="00634F62" w:rsidP="00634F62">
            <w:pPr>
              <w:tabs>
                <w:tab w:val="left" w:pos="1512"/>
                <w:tab w:val="left" w:pos="1692"/>
                <w:tab w:val="left" w:pos="1764"/>
              </w:tabs>
              <w:spacing w:line="360" w:lineRule="auto"/>
              <w:ind w:right="562"/>
              <w:jc w:val="center"/>
            </w:pPr>
            <w:r w:rsidRPr="005A4A4A">
              <w:t>Forte</w:t>
            </w:r>
          </w:p>
          <w:p w:rsidR="00634F62" w:rsidRPr="005A4A4A" w:rsidRDefault="00634F62" w:rsidP="00634F62">
            <w:pPr>
              <w:tabs>
                <w:tab w:val="left" w:pos="1512"/>
                <w:tab w:val="left" w:pos="1692"/>
                <w:tab w:val="left" w:pos="1764"/>
              </w:tabs>
              <w:spacing w:line="360" w:lineRule="auto"/>
              <w:ind w:right="562"/>
              <w:jc w:val="center"/>
            </w:pPr>
            <w:r w:rsidRPr="005A4A4A">
              <w:t>faible</w:t>
            </w:r>
          </w:p>
          <w:p w:rsidR="00634F62" w:rsidRPr="005A4A4A" w:rsidRDefault="00634F62" w:rsidP="00634F62">
            <w:pPr>
              <w:tabs>
                <w:tab w:val="left" w:pos="1512"/>
                <w:tab w:val="left" w:pos="1692"/>
                <w:tab w:val="left" w:pos="1764"/>
              </w:tabs>
              <w:spacing w:line="360" w:lineRule="auto"/>
              <w:ind w:right="562"/>
              <w:jc w:val="center"/>
            </w:pPr>
            <w:r w:rsidRPr="005A4A4A">
              <w:t>Forte</w:t>
            </w:r>
          </w:p>
          <w:p w:rsidR="00634F62" w:rsidRPr="005A4A4A" w:rsidRDefault="00634F62" w:rsidP="00634F62">
            <w:pPr>
              <w:tabs>
                <w:tab w:val="left" w:pos="1512"/>
                <w:tab w:val="left" w:pos="1692"/>
                <w:tab w:val="left" w:pos="1764"/>
              </w:tabs>
              <w:spacing w:line="360" w:lineRule="auto"/>
              <w:ind w:right="562"/>
              <w:jc w:val="center"/>
            </w:pPr>
            <w:r w:rsidRPr="005A4A4A">
              <w:t>Forte</w:t>
            </w:r>
          </w:p>
        </w:tc>
      </w:tr>
    </w:tbl>
    <w:p w:rsidR="00634F62" w:rsidRDefault="00634F62" w:rsidP="00634F62">
      <w:pPr>
        <w:spacing w:line="360" w:lineRule="auto"/>
        <w:ind w:right="72"/>
        <w:jc w:val="center"/>
      </w:pPr>
    </w:p>
    <w:p w:rsidR="00634F62" w:rsidRDefault="00E64DFC" w:rsidP="00634F62">
      <w:pPr>
        <w:spacing w:line="360" w:lineRule="auto"/>
        <w:ind w:right="72"/>
        <w:jc w:val="center"/>
      </w:pPr>
      <w:r>
        <w:rPr>
          <w:noProof/>
        </w:rPr>
        <w:drawing>
          <wp:inline distT="0" distB="0" distL="0" distR="0">
            <wp:extent cx="5753100" cy="2381250"/>
            <wp:effectExtent l="19050" t="0" r="0" b="0"/>
            <wp:docPr id="41" name="Imag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11" cstate="print"/>
                    <a:srcRect/>
                    <a:stretch>
                      <a:fillRect/>
                    </a:stretch>
                  </pic:blipFill>
                  <pic:spPr bwMode="auto">
                    <a:xfrm>
                      <a:off x="0" y="0"/>
                      <a:ext cx="5753100" cy="2381250"/>
                    </a:xfrm>
                    <a:prstGeom prst="rect">
                      <a:avLst/>
                    </a:prstGeom>
                    <a:noFill/>
                    <a:ln w="9525">
                      <a:noFill/>
                      <a:miter lim="800000"/>
                      <a:headEnd/>
                      <a:tailEnd/>
                    </a:ln>
                  </pic:spPr>
                </pic:pic>
              </a:graphicData>
            </a:graphic>
          </wp:inline>
        </w:drawing>
      </w:r>
    </w:p>
    <w:p w:rsidR="00634F62" w:rsidRDefault="00634F62" w:rsidP="000B5985">
      <w:pPr>
        <w:spacing w:after="240" w:line="360" w:lineRule="auto"/>
        <w:ind w:right="562"/>
        <w:jc w:val="center"/>
      </w:pPr>
      <w:r>
        <w:t>Figure 2.3 : spectre infrarouge du n-octane à l’état liquide</w:t>
      </w:r>
    </w:p>
    <w:p w:rsidR="00634F62" w:rsidRDefault="00634F62" w:rsidP="000B5985">
      <w:pPr>
        <w:spacing w:after="240" w:line="360" w:lineRule="auto"/>
        <w:ind w:right="562"/>
      </w:pPr>
      <w:r>
        <w:tab/>
      </w:r>
      <w:r w:rsidRPr="00C87A55">
        <w:t>Sur le spectre IR d</w:t>
      </w:r>
      <w:r>
        <w:t>u n-octane</w:t>
      </w:r>
      <w:r w:rsidRPr="00C87A55">
        <w:t xml:space="preserve">, on observe bien les </w:t>
      </w:r>
      <w:r>
        <w:t xml:space="preserve">4 </w:t>
      </w:r>
      <w:r w:rsidRPr="00C87A55">
        <w:t xml:space="preserve">absorptions correspondant </w:t>
      </w:r>
      <w:r>
        <w:t>vibrations de valence des</w:t>
      </w:r>
      <w:r w:rsidRPr="00C87A55">
        <w:t xml:space="preserve"> groupements  CH</w:t>
      </w:r>
      <w:r w:rsidRPr="00C87A55">
        <w:rPr>
          <w:vertAlign w:val="subscript"/>
        </w:rPr>
        <w:t>3</w:t>
      </w:r>
      <w:r w:rsidRPr="00C87A55">
        <w:t xml:space="preserve"> et CH</w:t>
      </w:r>
      <w:r w:rsidRPr="00C87A55">
        <w:rPr>
          <w:vertAlign w:val="subscript"/>
        </w:rPr>
        <w:t>2</w:t>
      </w:r>
      <w:r>
        <w:t>.</w:t>
      </w:r>
    </w:p>
    <w:p w:rsidR="000B5985" w:rsidRDefault="000B5985" w:rsidP="00634F62">
      <w:pPr>
        <w:spacing w:line="360" w:lineRule="auto"/>
        <w:ind w:right="562"/>
      </w:pPr>
    </w:p>
    <w:p w:rsidR="00634F62" w:rsidRPr="00634F62" w:rsidRDefault="00634F62" w:rsidP="00634F62">
      <w:pPr>
        <w:spacing w:line="360" w:lineRule="auto"/>
        <w:ind w:right="1306"/>
        <w:jc w:val="both"/>
        <w:rPr>
          <w:b/>
          <w:bCs/>
        </w:rPr>
      </w:pPr>
      <w:r w:rsidRPr="005E781D">
        <w:rPr>
          <w:b/>
          <w:bCs/>
        </w:rPr>
        <w:t>III - ANALYSE STRUCTURALE</w:t>
      </w:r>
    </w:p>
    <w:p w:rsidR="00634F62" w:rsidRPr="00634F62" w:rsidRDefault="00634F62" w:rsidP="00634F62">
      <w:pPr>
        <w:spacing w:line="360" w:lineRule="auto"/>
        <w:ind w:right="562"/>
        <w:jc w:val="both"/>
        <w:rPr>
          <w:b/>
          <w:bCs/>
        </w:rPr>
      </w:pPr>
      <w:r w:rsidRPr="00C613BF">
        <w:rPr>
          <w:b/>
          <w:bCs/>
        </w:rPr>
        <w:t>III – 1 –</w:t>
      </w:r>
      <w:r w:rsidRPr="00C613BF">
        <w:rPr>
          <w:b/>
          <w:bCs/>
          <w:color w:val="FF0000"/>
        </w:rPr>
        <w:t xml:space="preserve"> </w:t>
      </w:r>
      <w:r w:rsidRPr="00C613BF">
        <w:rPr>
          <w:b/>
          <w:bCs/>
        </w:rPr>
        <w:t xml:space="preserve">Modes normaux de vibration </w:t>
      </w:r>
    </w:p>
    <w:p w:rsidR="00634F62" w:rsidRDefault="00634F62" w:rsidP="00634F62">
      <w:pPr>
        <w:spacing w:line="360" w:lineRule="auto"/>
        <w:ind w:right="562"/>
        <w:jc w:val="both"/>
      </w:pPr>
      <w:r>
        <w:tab/>
        <w:t xml:space="preserve">On peut modéliser la molécule comme un ensemble d’oscillateurs liés les uns aux autres, donc couplés mécaniquement. L’excitation d’un des oscillateurs se traduit donc a priori par l’excitation simultanée de tous les oscillateurs, aussi bien en élongation qu’en déformation. Tous les atomes de la molécule vibrent donc avec une fréquence </w:t>
      </w:r>
      <w:r>
        <w:sym w:font="Symbol" w:char="F06E"/>
      </w:r>
      <w:r>
        <w:t xml:space="preserve"> autour de leur position d’équilibre. Chacune de ces vibrations d’ensemble de la molécule est appelée </w:t>
      </w:r>
      <w:r w:rsidRPr="00043F51">
        <w:rPr>
          <w:b/>
          <w:bCs/>
        </w:rPr>
        <w:t>mode normal de vibration</w:t>
      </w:r>
      <w:r>
        <w:t>.</w:t>
      </w:r>
    </w:p>
    <w:p w:rsidR="00634F62" w:rsidRDefault="00634F62" w:rsidP="00634F62">
      <w:pPr>
        <w:spacing w:line="360" w:lineRule="auto"/>
        <w:ind w:right="562"/>
        <w:jc w:val="both"/>
      </w:pPr>
      <w:r>
        <w:lastRenderedPageBreak/>
        <w:t>On sait qu’une molécule de N atomes, possède (3N-6) modes normaux de vibration soit (3N-6) fréquences de vibration possibles (au maximum).</w:t>
      </w:r>
    </w:p>
    <w:p w:rsidR="00634F62" w:rsidRDefault="00E64DFC" w:rsidP="00634F62">
      <w:pPr>
        <w:spacing w:line="360" w:lineRule="auto"/>
        <w:ind w:right="562"/>
        <w:jc w:val="center"/>
      </w:pPr>
      <w:r>
        <w:rPr>
          <w:noProof/>
        </w:rPr>
        <w:drawing>
          <wp:inline distT="0" distB="0" distL="0" distR="0">
            <wp:extent cx="4991100" cy="3581400"/>
            <wp:effectExtent l="19050" t="0" r="0" b="0"/>
            <wp:docPr id="40" name="Imag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12" cstate="print"/>
                    <a:srcRect/>
                    <a:stretch>
                      <a:fillRect/>
                    </a:stretch>
                  </pic:blipFill>
                  <pic:spPr bwMode="auto">
                    <a:xfrm>
                      <a:off x="0" y="0"/>
                      <a:ext cx="4991100" cy="3581400"/>
                    </a:xfrm>
                    <a:prstGeom prst="rect">
                      <a:avLst/>
                    </a:prstGeom>
                    <a:noFill/>
                    <a:ln w="9525">
                      <a:noFill/>
                      <a:miter lim="800000"/>
                      <a:headEnd/>
                      <a:tailEnd/>
                    </a:ln>
                  </pic:spPr>
                </pic:pic>
              </a:graphicData>
            </a:graphic>
          </wp:inline>
        </w:drawing>
      </w:r>
    </w:p>
    <w:p w:rsidR="000B5985" w:rsidRDefault="000B5985" w:rsidP="000B5985">
      <w:pPr>
        <w:pStyle w:val="title"/>
        <w:spacing w:before="0" w:beforeAutospacing="0"/>
        <w:ind w:right="562"/>
        <w:jc w:val="center"/>
      </w:pPr>
      <w:r>
        <w:t>Figure 3.1 : Les modes propres de vibration de la molécule d'eau.</w:t>
      </w:r>
    </w:p>
    <w:p w:rsidR="00634F62" w:rsidRDefault="00634F62" w:rsidP="00634F62">
      <w:pPr>
        <w:spacing w:line="360" w:lineRule="auto"/>
        <w:ind w:right="562" w:firstLine="540"/>
        <w:jc w:val="both"/>
      </w:pPr>
      <w:r>
        <w:t>Le nombre théorique de vibrations fondamentales est rarement observé parce que les vibrations harmoniques (multiples d’une fréquence donnée) et de combinaison (somme de vibrations) accroissent le nombre de bandes, alors que d’autres phénomènes réduisent ce même nombre. Le nombre théorique de bandes est réduit dans les cas suivants :</w:t>
      </w:r>
    </w:p>
    <w:p w:rsidR="00634F62" w:rsidRDefault="00634F62" w:rsidP="00634F62">
      <w:pPr>
        <w:spacing w:line="360" w:lineRule="auto"/>
        <w:ind w:right="562"/>
        <w:jc w:val="both"/>
      </w:pPr>
      <w:r>
        <w:t>1. Fréquences fondamentales se situa</w:t>
      </w:r>
      <w:r w:rsidRPr="00974A2B">
        <w:t>nt</w:t>
      </w:r>
      <w:r>
        <w:t xml:space="preserve"> en dehors de la région couramment étudiée (4000 et 400 cm</w:t>
      </w:r>
      <w:r>
        <w:rPr>
          <w:vertAlign w:val="superscript"/>
        </w:rPr>
        <w:t>-1</w:t>
      </w:r>
      <w:r>
        <w:t>).</w:t>
      </w:r>
    </w:p>
    <w:p w:rsidR="00634F62" w:rsidRDefault="00634F62" w:rsidP="00634F62">
      <w:pPr>
        <w:spacing w:line="360" w:lineRule="auto"/>
        <w:ind w:right="562"/>
        <w:jc w:val="both"/>
      </w:pPr>
      <w:r>
        <w:t>2. Bandes fondamentales trop faibles pour être observées.</w:t>
      </w:r>
    </w:p>
    <w:p w:rsidR="00634F62" w:rsidRPr="00324272" w:rsidRDefault="00634F62" w:rsidP="00634F62">
      <w:pPr>
        <w:spacing w:line="360" w:lineRule="auto"/>
        <w:ind w:right="562"/>
        <w:jc w:val="both"/>
      </w:pPr>
      <w:r>
        <w:t xml:space="preserve">3. Fréquences de vibrations fondamentales </w:t>
      </w:r>
      <w:r w:rsidRPr="00324272">
        <w:t>proches et bandes correspondantes se chevauchant.</w:t>
      </w:r>
    </w:p>
    <w:p w:rsidR="00634F62" w:rsidRDefault="00634F62" w:rsidP="00634F62">
      <w:pPr>
        <w:spacing w:line="360" w:lineRule="auto"/>
        <w:ind w:right="562"/>
        <w:jc w:val="both"/>
      </w:pPr>
      <w:r>
        <w:t xml:space="preserve">4. Présence de </w:t>
      </w:r>
      <w:r w:rsidRPr="00A27E29">
        <w:t>modes dou</w:t>
      </w:r>
      <w:r>
        <w:t xml:space="preserve">blement ou triplement dégénérés, </w:t>
      </w:r>
      <w:r w:rsidRPr="00A27E29">
        <w:t>caractérisés par une même fréquence de vibration</w:t>
      </w:r>
      <w:r>
        <w:t>.</w:t>
      </w:r>
    </w:p>
    <w:p w:rsidR="00634F62" w:rsidRDefault="00634F62" w:rsidP="00634F62">
      <w:pPr>
        <w:spacing w:line="360" w:lineRule="auto"/>
        <w:ind w:right="562"/>
        <w:jc w:val="both"/>
      </w:pPr>
      <w:r>
        <w:t>5. Vibrations fondamentales inactives.</w:t>
      </w:r>
    </w:p>
    <w:p w:rsidR="00634F62" w:rsidRDefault="00634F62" w:rsidP="00634F62">
      <w:pPr>
        <w:spacing w:line="360" w:lineRule="auto"/>
        <w:ind w:left="360" w:right="562"/>
        <w:jc w:val="both"/>
      </w:pPr>
    </w:p>
    <w:p w:rsidR="00634F62" w:rsidRDefault="00634F62" w:rsidP="00634F62">
      <w:pPr>
        <w:spacing w:line="360" w:lineRule="auto"/>
        <w:ind w:right="562"/>
        <w:jc w:val="both"/>
      </w:pPr>
      <w:r>
        <w:rPr>
          <w:b/>
          <w:bCs/>
        </w:rPr>
        <w:t>III – 2</w:t>
      </w:r>
      <w:r w:rsidRPr="00ED42C7">
        <w:rPr>
          <w:b/>
          <w:bCs/>
        </w:rPr>
        <w:t xml:space="preserve"> - Variation des fréquences de</w:t>
      </w:r>
      <w:r>
        <w:rPr>
          <w:b/>
          <w:bCs/>
        </w:rPr>
        <w:t>s</w:t>
      </w:r>
      <w:r w:rsidRPr="00ED42C7">
        <w:rPr>
          <w:b/>
          <w:bCs/>
        </w:rPr>
        <w:t xml:space="preserve"> modes normaux de vibration</w:t>
      </w:r>
    </w:p>
    <w:p w:rsidR="00634F62" w:rsidRDefault="00634F62" w:rsidP="00634F62">
      <w:pPr>
        <w:spacing w:line="360" w:lineRule="auto"/>
        <w:ind w:right="562" w:firstLine="540"/>
        <w:jc w:val="both"/>
      </w:pPr>
      <w:r>
        <w:lastRenderedPageBreak/>
        <w:t>Les fréquences d’élongation peuvent être</w:t>
      </w:r>
      <w:r>
        <w:rPr>
          <w:color w:val="FF0000"/>
        </w:rPr>
        <w:t xml:space="preserve"> </w:t>
      </w:r>
      <w:r w:rsidRPr="00172D64">
        <w:t xml:space="preserve">estimées </w:t>
      </w:r>
      <w:r>
        <w:t>par l’application de la loi de Hooke. Dans l’application de cette loi, deux atomes et leur liaison se traitent comme un simple oscillateur harmonique composé de deux masses reliées par un ressort. L’équation suivante, dérivée de la loi de Hooke, établit la relation entre la fréquence d’oscillation, les masses atomiques et la constante de force de la liaison.</w:t>
      </w:r>
    </w:p>
    <w:tbl>
      <w:tblPr>
        <w:tblW w:w="0" w:type="auto"/>
        <w:tblCellSpacing w:w="15" w:type="dxa"/>
        <w:tblInd w:w="1043"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tblPr>
      <w:tblGrid>
        <w:gridCol w:w="2073"/>
        <w:gridCol w:w="5345"/>
      </w:tblGrid>
      <w:tr w:rsidR="00634F62" w:rsidRPr="00885BF2" w:rsidTr="00634F62">
        <w:trPr>
          <w:tblCellSpacing w:w="15" w:type="dxa"/>
        </w:trPr>
        <w:tc>
          <w:tcPr>
            <w:tcW w:w="1593" w:type="dxa"/>
            <w:tcBorders>
              <w:top w:val="outset" w:sz="6" w:space="0" w:color="auto"/>
              <w:left w:val="outset" w:sz="6" w:space="0" w:color="auto"/>
              <w:bottom w:val="outset" w:sz="6" w:space="0" w:color="auto"/>
              <w:right w:val="outset" w:sz="6" w:space="0" w:color="auto"/>
            </w:tcBorders>
            <w:vAlign w:val="center"/>
          </w:tcPr>
          <w:p w:rsidR="00634F62" w:rsidRPr="00885BF2" w:rsidRDefault="00634F62" w:rsidP="00634F62">
            <w:pPr>
              <w:ind w:left="217" w:right="325"/>
              <w:rPr>
                <w:rFonts w:ascii="Arial" w:hAnsi="Arial" w:cs="Arial"/>
                <w:color w:val="000000"/>
                <w:sz w:val="20"/>
                <w:szCs w:val="20"/>
              </w:rPr>
            </w:pPr>
            <w:r w:rsidRPr="00970443">
              <w:rPr>
                <w:color w:val="000000"/>
                <w:position w:val="-34"/>
              </w:rPr>
              <w:object w:dxaOrig="1420" w:dyaOrig="840">
                <v:shape id="_x0000_i1028" type="#_x0000_t75" style="width:71pt;height:42pt" o:ole="">
                  <v:imagedata r:id="rId13" o:title=""/>
                </v:shape>
                <o:OLEObject Type="Embed" ProgID="Equation.3" ShapeID="_x0000_i1028" DrawAspect="Content" ObjectID="_1572675388" r:id="rId14"/>
              </w:object>
            </w:r>
            <w:r>
              <w:rPr>
                <w:rFonts w:ascii="Arial" w:hAnsi="Arial" w:cs="Arial"/>
                <w:color w:val="000000"/>
                <w:sz w:val="20"/>
                <w:szCs w:val="20"/>
              </w:rPr>
              <w:t xml:space="preserve">   </w:t>
            </w:r>
          </w:p>
        </w:tc>
        <w:tc>
          <w:tcPr>
            <w:tcW w:w="5300" w:type="dxa"/>
            <w:tcBorders>
              <w:top w:val="outset" w:sz="6" w:space="0" w:color="auto"/>
              <w:left w:val="outset" w:sz="6" w:space="0" w:color="auto"/>
              <w:bottom w:val="outset" w:sz="6" w:space="0" w:color="auto"/>
              <w:right w:val="outset" w:sz="6" w:space="0" w:color="auto"/>
            </w:tcBorders>
            <w:vAlign w:val="center"/>
          </w:tcPr>
          <w:p w:rsidR="00634F62" w:rsidRDefault="00634F62" w:rsidP="00634F62">
            <w:pPr>
              <w:ind w:left="684" w:right="562"/>
              <w:jc w:val="both"/>
              <w:rPr>
                <w:color w:val="000000"/>
              </w:rPr>
            </w:pPr>
            <w:r w:rsidRPr="00970443">
              <w:rPr>
                <w:color w:val="000000"/>
                <w:position w:val="-6"/>
              </w:rPr>
              <w:object w:dxaOrig="220" w:dyaOrig="480">
                <v:shape id="_x0000_i1029" type="#_x0000_t75" style="width:11pt;height:24pt" o:ole="">
                  <v:imagedata r:id="rId15" o:title=""/>
                </v:shape>
                <o:OLEObject Type="Embed" ProgID="Equation.3" ShapeID="_x0000_i1029" DrawAspect="Content" ObjectID="_1572675389" r:id="rId16"/>
              </w:object>
            </w:r>
            <w:r>
              <w:rPr>
                <w:color w:val="000000"/>
              </w:rPr>
              <w:t>= fréquence de vibration (cm</w:t>
            </w:r>
            <w:r w:rsidRPr="00970443">
              <w:rPr>
                <w:color w:val="000000"/>
                <w:vertAlign w:val="superscript"/>
              </w:rPr>
              <w:t>-1</w:t>
            </w:r>
            <w:r>
              <w:rPr>
                <w:color w:val="000000"/>
              </w:rPr>
              <w:t>)</w:t>
            </w:r>
          </w:p>
          <w:p w:rsidR="00634F62" w:rsidRDefault="00634F62" w:rsidP="00634F62">
            <w:pPr>
              <w:ind w:left="684" w:right="562"/>
              <w:jc w:val="both"/>
              <w:rPr>
                <w:color w:val="000000"/>
              </w:rPr>
            </w:pPr>
            <w:r>
              <w:rPr>
                <w:color w:val="000000"/>
              </w:rPr>
              <w:t>c =  vitesse de la lumière (cm/s)</w:t>
            </w:r>
          </w:p>
          <w:p w:rsidR="00634F62" w:rsidRDefault="00634F62" w:rsidP="00634F62">
            <w:pPr>
              <w:ind w:left="684" w:right="562"/>
              <w:jc w:val="both"/>
              <w:rPr>
                <w:color w:val="000000"/>
              </w:rPr>
            </w:pPr>
            <w:r>
              <w:rPr>
                <w:color w:val="000000"/>
              </w:rPr>
              <w:t xml:space="preserve">k= constante de force de la liaison </w:t>
            </w:r>
          </w:p>
          <w:p w:rsidR="00634F62" w:rsidRDefault="00634F62" w:rsidP="00634F62">
            <w:pPr>
              <w:ind w:left="845" w:right="562"/>
              <w:jc w:val="both"/>
              <w:rPr>
                <w:color w:val="000000"/>
              </w:rPr>
            </w:pPr>
            <w:r>
              <w:rPr>
                <w:color w:val="000000"/>
              </w:rPr>
              <w:t xml:space="preserve">     (dyne/cm)</w:t>
            </w:r>
          </w:p>
          <w:p w:rsidR="00634F62" w:rsidRPr="00885BF2" w:rsidRDefault="00634F62" w:rsidP="00634F62">
            <w:pPr>
              <w:ind w:left="684" w:right="562"/>
              <w:rPr>
                <w:rFonts w:ascii="Arial" w:hAnsi="Arial" w:cs="Arial"/>
                <w:color w:val="000000"/>
                <w:sz w:val="20"/>
                <w:szCs w:val="20"/>
              </w:rPr>
            </w:pPr>
            <w:r>
              <w:rPr>
                <w:color w:val="000000"/>
              </w:rPr>
              <w:sym w:font="Symbol" w:char="F06D"/>
            </w:r>
            <w:r>
              <w:rPr>
                <w:color w:val="000000"/>
              </w:rPr>
              <w:t xml:space="preserve"> = masse réduite     </w:t>
            </w:r>
            <w:r>
              <w:rPr>
                <w:color w:val="000000"/>
              </w:rPr>
              <w:sym w:font="Symbol" w:char="F06D"/>
            </w:r>
            <w:r>
              <w:rPr>
                <w:color w:val="000000"/>
              </w:rPr>
              <w:t xml:space="preserve"> = </w:t>
            </w:r>
            <w:proofErr w:type="spellStart"/>
            <w:r w:rsidRPr="007447D4">
              <w:rPr>
                <w:color w:val="000000"/>
              </w:rPr>
              <w:t>m</w:t>
            </w:r>
            <w:r w:rsidRPr="007447D4">
              <w:rPr>
                <w:color w:val="000000"/>
                <w:vertAlign w:val="subscript"/>
              </w:rPr>
              <w:t>x</w:t>
            </w:r>
            <w:r w:rsidRPr="007447D4">
              <w:rPr>
                <w:color w:val="000000"/>
              </w:rPr>
              <w:t>m</w:t>
            </w:r>
            <w:r w:rsidRPr="007447D4">
              <w:rPr>
                <w:color w:val="000000"/>
                <w:vertAlign w:val="subscript"/>
              </w:rPr>
              <w:t>y</w:t>
            </w:r>
            <w:proofErr w:type="spellEnd"/>
            <w:proofErr w:type="gramStart"/>
            <w:r>
              <w:rPr>
                <w:color w:val="000000"/>
              </w:rPr>
              <w:t>/(</w:t>
            </w:r>
            <w:proofErr w:type="spellStart"/>
            <w:proofErr w:type="gramEnd"/>
            <w:r>
              <w:rPr>
                <w:color w:val="000000"/>
              </w:rPr>
              <w:t>m</w:t>
            </w:r>
            <w:r>
              <w:rPr>
                <w:color w:val="000000"/>
                <w:vertAlign w:val="subscript"/>
              </w:rPr>
              <w:t>x</w:t>
            </w:r>
            <w:proofErr w:type="spellEnd"/>
            <w:r>
              <w:rPr>
                <w:color w:val="000000"/>
              </w:rPr>
              <w:t>+</w:t>
            </w:r>
            <w:proofErr w:type="spellStart"/>
            <w:r>
              <w:rPr>
                <w:color w:val="000000"/>
              </w:rPr>
              <w:t>m</w:t>
            </w:r>
            <w:r>
              <w:rPr>
                <w:color w:val="000000"/>
                <w:vertAlign w:val="subscript"/>
              </w:rPr>
              <w:t>y</w:t>
            </w:r>
            <w:proofErr w:type="spellEnd"/>
            <w:r>
              <w:rPr>
                <w:color w:val="000000"/>
              </w:rPr>
              <w:t xml:space="preserve">) </w:t>
            </w:r>
          </w:p>
        </w:tc>
      </w:tr>
    </w:tbl>
    <w:p w:rsidR="00634F62" w:rsidRDefault="00634F62" w:rsidP="00634F62">
      <w:pPr>
        <w:spacing w:line="360" w:lineRule="auto"/>
        <w:ind w:right="562"/>
        <w:jc w:val="both"/>
        <w:rPr>
          <w:color w:val="000000"/>
        </w:rPr>
      </w:pPr>
    </w:p>
    <w:p w:rsidR="00634F62" w:rsidRDefault="00634F62" w:rsidP="00634F62">
      <w:pPr>
        <w:spacing w:line="360" w:lineRule="auto"/>
        <w:ind w:right="562"/>
        <w:jc w:val="both"/>
        <w:rPr>
          <w:color w:val="000000"/>
        </w:rPr>
      </w:pPr>
      <w:r>
        <w:rPr>
          <w:color w:val="000000"/>
        </w:rPr>
        <w:tab/>
        <w:t>On peut remarquer qu’elle augmente avec la force de la liaison (k), et diminue quand la masse des atomes augmente.</w:t>
      </w:r>
    </w:p>
    <w:p w:rsidR="00634F62" w:rsidRPr="00380A52" w:rsidRDefault="00634F62" w:rsidP="00634F62">
      <w:pPr>
        <w:spacing w:after="240" w:line="360" w:lineRule="auto"/>
        <w:ind w:right="562"/>
        <w:jc w:val="both"/>
      </w:pPr>
      <w:r>
        <w:tab/>
        <w:t xml:space="preserve">Pour des liaisons comportant un même élément (C), la "fréquence" d'élongation sera la plus élevée pour la liaison associant cet élément à l'élément le plus léger de la série (H). De manière globale, la variation de la constante de force est plus faible que celle de la masse </w:t>
      </w:r>
      <w:proofErr w:type="gramStart"/>
      <w:r>
        <w:t xml:space="preserve">réduite </w:t>
      </w:r>
      <w:proofErr w:type="gramEnd"/>
      <w:r>
        <w:sym w:font="Symbol" w:char="F06D"/>
      </w:r>
      <w:r>
        <w:t xml:space="preserve">. </w:t>
      </w:r>
      <w:proofErr w:type="gramStart"/>
      <w:r>
        <w:t>k</w:t>
      </w:r>
      <w:proofErr w:type="gramEnd"/>
      <w:r>
        <w:t xml:space="preserve"> ne varie au maximum que d'un facteur 4 (entre la liaison simple et la liaison triple) alors que </w:t>
      </w:r>
      <w:r>
        <w:sym w:font="Symbol" w:char="F06D"/>
      </w:r>
      <w:r>
        <w:t xml:space="preserve"> peut varier bien plus. </w:t>
      </w:r>
      <w:r w:rsidRPr="00380A52">
        <w:t xml:space="preserve">Aussi, le facteur prépondérant pour la variation de la "fréquence" est la masse </w:t>
      </w:r>
      <w:proofErr w:type="gramStart"/>
      <w:r w:rsidRPr="00380A52">
        <w:t xml:space="preserve">réduite </w:t>
      </w:r>
      <w:proofErr w:type="gramEnd"/>
      <w:r w:rsidRPr="00380A52">
        <w:sym w:font="Symbol" w:char="F06D"/>
      </w:r>
      <w:r w:rsidRPr="00380A52">
        <w:t>, puis, de manière moindre, la constante de force k.</w:t>
      </w:r>
    </w:p>
    <w:p w:rsidR="00634F62" w:rsidRDefault="00634F62" w:rsidP="00634F62">
      <w:pPr>
        <w:spacing w:before="240" w:after="240" w:line="360" w:lineRule="auto"/>
        <w:rPr>
          <w:color w:val="000000"/>
        </w:rPr>
      </w:pPr>
      <w:r>
        <w:rPr>
          <w:color w:val="000000"/>
        </w:rPr>
        <w:tab/>
      </w:r>
      <w:r w:rsidRPr="00653DCE">
        <w:rPr>
          <w:color w:val="000000"/>
        </w:rPr>
        <w:t xml:space="preserve">La constante de force k variant peu pour un même type de liaison, les fréquences de vibration varient en sens inverse </w:t>
      </w:r>
      <w:proofErr w:type="gramStart"/>
      <w:r w:rsidRPr="00653DCE">
        <w:rPr>
          <w:color w:val="000000"/>
        </w:rPr>
        <w:t xml:space="preserve">de </w:t>
      </w:r>
      <w:proofErr w:type="gramEnd"/>
      <w:r>
        <w:rPr>
          <w:noProof/>
          <w:color w:val="000000"/>
        </w:rPr>
        <w:drawing>
          <wp:inline distT="0" distB="0" distL="0" distR="0">
            <wp:extent cx="95250" cy="114300"/>
            <wp:effectExtent l="19050" t="0" r="0" b="0"/>
            <wp:docPr id="30" name="Image 4" descr="application%20de%20la%20spectroscopie%20IR/IR%20conséquence_fichiers/index_bas_fichiers/ir_1_06_fichiers/mu.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pplication%20de%20la%20spectroscopie%20IR/IR%20conséquence_fichiers/index_bas_fichiers/ir_1_06_fichiers/mu.gif"/>
                    <pic:cNvPicPr>
                      <a:picLocks noChangeAspect="1" noChangeArrowheads="1"/>
                    </pic:cNvPicPr>
                  </pic:nvPicPr>
                  <pic:blipFill>
                    <a:blip r:embed="rId17" r:link="rId18" cstate="print"/>
                    <a:srcRect/>
                    <a:stretch>
                      <a:fillRect/>
                    </a:stretch>
                  </pic:blipFill>
                  <pic:spPr bwMode="auto">
                    <a:xfrm>
                      <a:off x="0" y="0"/>
                      <a:ext cx="95250" cy="114300"/>
                    </a:xfrm>
                    <a:prstGeom prst="rect">
                      <a:avLst/>
                    </a:prstGeom>
                    <a:noFill/>
                    <a:ln w="9525">
                      <a:noFill/>
                      <a:miter lim="800000"/>
                      <a:headEnd/>
                      <a:tailEnd/>
                    </a:ln>
                  </pic:spPr>
                </pic:pic>
              </a:graphicData>
            </a:graphic>
          </wp:inline>
        </w:drawing>
      </w:r>
      <w:r w:rsidRPr="00653DCE">
        <w:rPr>
          <w:color w:val="000000"/>
        </w:rPr>
        <w:t>.</w:t>
      </w:r>
    </w:p>
    <w:p w:rsidR="00634F62" w:rsidRPr="00634F62" w:rsidRDefault="00634F62" w:rsidP="00634F62">
      <w:pPr>
        <w:spacing w:line="360" w:lineRule="auto"/>
        <w:ind w:right="562"/>
        <w:jc w:val="both"/>
        <w:rPr>
          <w:b/>
          <w:bCs/>
          <w:u w:val="single"/>
        </w:rPr>
      </w:pPr>
      <w:r w:rsidRPr="00634F62">
        <w:rPr>
          <w:b/>
          <w:bCs/>
          <w:u w:val="single"/>
        </w:rPr>
        <w:t xml:space="preserve">Effet de la masse réduite </w:t>
      </w:r>
    </w:p>
    <w:p w:rsidR="00634F62" w:rsidRDefault="00634F62" w:rsidP="00634F62">
      <w:pPr>
        <w:spacing w:line="360" w:lineRule="auto"/>
        <w:ind w:right="562"/>
        <w:jc w:val="both"/>
      </w:pPr>
      <w:r w:rsidRPr="00BE2046">
        <w:tab/>
        <w:t>La fréquence de vibration diminue avec l’augmentation de la masse réduite du vibrateur. Ceci est illustré par l’exemple suivant :</w:t>
      </w:r>
    </w:p>
    <w:p w:rsidR="00634F62" w:rsidRDefault="00634F62" w:rsidP="00634F62">
      <w:pPr>
        <w:spacing w:line="360" w:lineRule="auto"/>
        <w:ind w:right="562"/>
        <w:jc w:val="both"/>
      </w:pPr>
    </w:p>
    <w:p w:rsidR="00634F62" w:rsidRDefault="00634F62" w:rsidP="00634F62">
      <w:pPr>
        <w:autoSpaceDE w:val="0"/>
        <w:autoSpaceDN w:val="0"/>
        <w:adjustRightInd w:val="0"/>
        <w:rPr>
          <w:b/>
          <w:bCs/>
        </w:rPr>
      </w:pPr>
      <w:r>
        <w:rPr>
          <w:b/>
          <w:bCs/>
        </w:rPr>
        <w:t xml:space="preserve">               </w:t>
      </w:r>
      <w:r w:rsidRPr="001034E2">
        <w:rPr>
          <w:b/>
          <w:bCs/>
        </w:rPr>
        <w:t>Tableau </w:t>
      </w:r>
      <w:r>
        <w:rPr>
          <w:b/>
          <w:bCs/>
        </w:rPr>
        <w:t>2</w:t>
      </w:r>
      <w:r w:rsidRPr="001034E2">
        <w:rPr>
          <w:b/>
          <w:bCs/>
        </w:rPr>
        <w:t>: Fréquence</w:t>
      </w:r>
      <w:r>
        <w:rPr>
          <w:b/>
          <w:bCs/>
        </w:rPr>
        <w:t>s</w:t>
      </w:r>
      <w:r w:rsidRPr="001034E2">
        <w:rPr>
          <w:b/>
          <w:bCs/>
        </w:rPr>
        <w:t xml:space="preserve"> de vibration </w:t>
      </w:r>
      <w:r>
        <w:rPr>
          <w:b/>
          <w:bCs/>
        </w:rPr>
        <w:t>et masses réduite des</w:t>
      </w:r>
      <w:r w:rsidRPr="001034E2">
        <w:rPr>
          <w:b/>
          <w:bCs/>
        </w:rPr>
        <w:t xml:space="preserve"> vibrateur</w:t>
      </w:r>
      <w:r>
        <w:rPr>
          <w:b/>
          <w:bCs/>
        </w:rPr>
        <w:t>s</w:t>
      </w:r>
      <w:r w:rsidRPr="001034E2">
        <w:rPr>
          <w:b/>
          <w:bCs/>
        </w:rPr>
        <w:t xml:space="preserve"> C-</w:t>
      </w:r>
      <w:r>
        <w:rPr>
          <w:b/>
          <w:bCs/>
        </w:rPr>
        <w:t>X</w:t>
      </w:r>
    </w:p>
    <w:p w:rsidR="00634F62" w:rsidRDefault="00634F62" w:rsidP="00634F62">
      <w:pPr>
        <w:autoSpaceDE w:val="0"/>
        <w:autoSpaceDN w:val="0"/>
        <w:adjustRightInd w:val="0"/>
        <w:rPr>
          <w:b/>
          <w:bCs/>
        </w:rPr>
      </w:pPr>
    </w:p>
    <w:tbl>
      <w:tblPr>
        <w:tblW w:w="2699" w:type="pct"/>
        <w:jc w:val="center"/>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tblPr>
      <w:tblGrid>
        <w:gridCol w:w="1272"/>
        <w:gridCol w:w="582"/>
        <w:gridCol w:w="582"/>
        <w:gridCol w:w="582"/>
        <w:gridCol w:w="687"/>
        <w:gridCol w:w="719"/>
        <w:gridCol w:w="537"/>
      </w:tblGrid>
      <w:tr w:rsidR="00634F62" w:rsidRPr="00EB09B7" w:rsidTr="00634F62">
        <w:trPr>
          <w:tblCellSpacing w:w="15" w:type="dxa"/>
          <w:jc w:val="center"/>
        </w:trPr>
        <w:tc>
          <w:tcPr>
            <w:tcW w:w="1227" w:type="dxa"/>
            <w:tcBorders>
              <w:top w:val="outset" w:sz="6" w:space="0" w:color="auto"/>
              <w:left w:val="outset" w:sz="6" w:space="0" w:color="auto"/>
              <w:bottom w:val="outset" w:sz="6" w:space="0" w:color="auto"/>
              <w:right w:val="outset" w:sz="6" w:space="0" w:color="auto"/>
            </w:tcBorders>
            <w:vAlign w:val="center"/>
          </w:tcPr>
          <w:p w:rsidR="00634F62" w:rsidRPr="00EB09B7" w:rsidRDefault="00634F62" w:rsidP="00634F62">
            <w:pPr>
              <w:jc w:val="center"/>
              <w:rPr>
                <w:rFonts w:ascii="Arial" w:hAnsi="Arial" w:cs="Arial"/>
                <w:color w:val="000000"/>
              </w:rPr>
            </w:pPr>
            <w:r w:rsidRPr="00EB09B7">
              <w:rPr>
                <w:rFonts w:ascii="Arial" w:hAnsi="Arial" w:cs="Arial"/>
                <w:color w:val="000000"/>
                <w:sz w:val="22"/>
                <w:szCs w:val="22"/>
              </w:rPr>
              <w:t>Liaisons</w:t>
            </w:r>
          </w:p>
        </w:tc>
        <w:tc>
          <w:tcPr>
            <w:tcW w:w="552" w:type="dxa"/>
            <w:tcBorders>
              <w:top w:val="outset" w:sz="6" w:space="0" w:color="auto"/>
              <w:left w:val="outset" w:sz="6" w:space="0" w:color="auto"/>
              <w:bottom w:val="outset" w:sz="6" w:space="0" w:color="auto"/>
              <w:right w:val="outset" w:sz="6" w:space="0" w:color="auto"/>
            </w:tcBorders>
            <w:vAlign w:val="center"/>
          </w:tcPr>
          <w:p w:rsidR="00634F62" w:rsidRPr="00EB09B7" w:rsidRDefault="00634F62" w:rsidP="00634F62">
            <w:pPr>
              <w:jc w:val="center"/>
              <w:rPr>
                <w:rFonts w:ascii="Arial" w:hAnsi="Arial" w:cs="Arial"/>
                <w:color w:val="000000"/>
              </w:rPr>
            </w:pPr>
            <w:r w:rsidRPr="00EB09B7">
              <w:rPr>
                <w:rFonts w:ascii="Arial" w:hAnsi="Arial" w:cs="Arial"/>
                <w:color w:val="000000"/>
                <w:sz w:val="22"/>
                <w:szCs w:val="22"/>
              </w:rPr>
              <w:t>C-H</w:t>
            </w:r>
          </w:p>
        </w:tc>
        <w:tc>
          <w:tcPr>
            <w:tcW w:w="552" w:type="dxa"/>
            <w:tcBorders>
              <w:top w:val="outset" w:sz="6" w:space="0" w:color="auto"/>
              <w:left w:val="outset" w:sz="6" w:space="0" w:color="auto"/>
              <w:bottom w:val="outset" w:sz="6" w:space="0" w:color="auto"/>
              <w:right w:val="outset" w:sz="6" w:space="0" w:color="auto"/>
            </w:tcBorders>
            <w:vAlign w:val="center"/>
          </w:tcPr>
          <w:p w:rsidR="00634F62" w:rsidRPr="00EB09B7" w:rsidRDefault="00634F62" w:rsidP="00634F62">
            <w:pPr>
              <w:jc w:val="center"/>
              <w:rPr>
                <w:rFonts w:ascii="Arial" w:hAnsi="Arial" w:cs="Arial"/>
                <w:color w:val="000000"/>
              </w:rPr>
            </w:pPr>
            <w:r w:rsidRPr="00EB09B7">
              <w:rPr>
                <w:rFonts w:ascii="Arial" w:hAnsi="Arial" w:cs="Arial"/>
                <w:color w:val="000000"/>
                <w:sz w:val="22"/>
                <w:szCs w:val="22"/>
              </w:rPr>
              <w:t>C-C</w:t>
            </w:r>
          </w:p>
        </w:tc>
        <w:tc>
          <w:tcPr>
            <w:tcW w:w="552" w:type="dxa"/>
            <w:tcBorders>
              <w:top w:val="outset" w:sz="6" w:space="0" w:color="auto"/>
              <w:left w:val="outset" w:sz="6" w:space="0" w:color="auto"/>
              <w:bottom w:val="outset" w:sz="6" w:space="0" w:color="auto"/>
              <w:right w:val="outset" w:sz="6" w:space="0" w:color="auto"/>
            </w:tcBorders>
            <w:vAlign w:val="center"/>
          </w:tcPr>
          <w:p w:rsidR="00634F62" w:rsidRPr="00EB09B7" w:rsidRDefault="00634F62" w:rsidP="00634F62">
            <w:pPr>
              <w:jc w:val="center"/>
              <w:rPr>
                <w:rFonts w:ascii="Arial" w:hAnsi="Arial" w:cs="Arial"/>
                <w:color w:val="000000"/>
              </w:rPr>
            </w:pPr>
            <w:r w:rsidRPr="00EB09B7">
              <w:rPr>
                <w:rFonts w:ascii="Arial" w:hAnsi="Arial" w:cs="Arial"/>
                <w:color w:val="000000"/>
                <w:sz w:val="22"/>
                <w:szCs w:val="22"/>
              </w:rPr>
              <w:t>C-F</w:t>
            </w:r>
          </w:p>
        </w:tc>
        <w:tc>
          <w:tcPr>
            <w:tcW w:w="657" w:type="dxa"/>
            <w:tcBorders>
              <w:top w:val="outset" w:sz="6" w:space="0" w:color="auto"/>
              <w:left w:val="outset" w:sz="6" w:space="0" w:color="auto"/>
              <w:bottom w:val="outset" w:sz="6" w:space="0" w:color="auto"/>
              <w:right w:val="outset" w:sz="6" w:space="0" w:color="auto"/>
            </w:tcBorders>
            <w:vAlign w:val="center"/>
          </w:tcPr>
          <w:p w:rsidR="00634F62" w:rsidRPr="00EB09B7" w:rsidRDefault="00634F62" w:rsidP="00634F62">
            <w:pPr>
              <w:jc w:val="center"/>
              <w:rPr>
                <w:rFonts w:ascii="Arial" w:hAnsi="Arial" w:cs="Arial"/>
                <w:color w:val="000000"/>
              </w:rPr>
            </w:pPr>
            <w:r w:rsidRPr="00EB09B7">
              <w:rPr>
                <w:rFonts w:ascii="Arial" w:hAnsi="Arial" w:cs="Arial"/>
                <w:color w:val="000000"/>
                <w:sz w:val="22"/>
                <w:szCs w:val="22"/>
              </w:rPr>
              <w:t>C-Cl</w:t>
            </w:r>
          </w:p>
        </w:tc>
        <w:tc>
          <w:tcPr>
            <w:tcW w:w="690" w:type="dxa"/>
            <w:tcBorders>
              <w:top w:val="outset" w:sz="6" w:space="0" w:color="auto"/>
              <w:left w:val="outset" w:sz="6" w:space="0" w:color="auto"/>
              <w:bottom w:val="outset" w:sz="6" w:space="0" w:color="auto"/>
              <w:right w:val="outset" w:sz="6" w:space="0" w:color="auto"/>
            </w:tcBorders>
            <w:vAlign w:val="center"/>
          </w:tcPr>
          <w:p w:rsidR="00634F62" w:rsidRPr="00EB09B7" w:rsidRDefault="00634F62" w:rsidP="00634F62">
            <w:pPr>
              <w:jc w:val="center"/>
              <w:rPr>
                <w:rFonts w:ascii="Arial" w:hAnsi="Arial" w:cs="Arial"/>
                <w:color w:val="000000"/>
              </w:rPr>
            </w:pPr>
            <w:r w:rsidRPr="00EB09B7">
              <w:rPr>
                <w:rFonts w:ascii="Arial" w:hAnsi="Arial" w:cs="Arial"/>
                <w:color w:val="000000"/>
                <w:sz w:val="22"/>
                <w:szCs w:val="22"/>
              </w:rPr>
              <w:t>C-</w:t>
            </w:r>
            <w:proofErr w:type="spellStart"/>
            <w:r w:rsidRPr="00EB09B7">
              <w:rPr>
                <w:rFonts w:ascii="Arial" w:hAnsi="Arial" w:cs="Arial"/>
                <w:color w:val="000000"/>
                <w:sz w:val="22"/>
                <w:szCs w:val="22"/>
              </w:rPr>
              <w:t>Br</w:t>
            </w:r>
            <w:proofErr w:type="spellEnd"/>
          </w:p>
        </w:tc>
        <w:tc>
          <w:tcPr>
            <w:tcW w:w="492" w:type="dxa"/>
            <w:tcBorders>
              <w:top w:val="outset" w:sz="6" w:space="0" w:color="auto"/>
              <w:left w:val="outset" w:sz="6" w:space="0" w:color="auto"/>
              <w:bottom w:val="outset" w:sz="6" w:space="0" w:color="auto"/>
              <w:right w:val="outset" w:sz="6" w:space="0" w:color="auto"/>
            </w:tcBorders>
            <w:vAlign w:val="center"/>
          </w:tcPr>
          <w:p w:rsidR="00634F62" w:rsidRPr="00EB09B7" w:rsidRDefault="00634F62" w:rsidP="00634F62">
            <w:pPr>
              <w:jc w:val="center"/>
              <w:rPr>
                <w:rFonts w:ascii="Arial" w:hAnsi="Arial" w:cs="Arial"/>
                <w:color w:val="000000"/>
              </w:rPr>
            </w:pPr>
            <w:r w:rsidRPr="00EB09B7">
              <w:rPr>
                <w:rFonts w:ascii="Arial" w:hAnsi="Arial" w:cs="Arial"/>
                <w:color w:val="000000"/>
                <w:sz w:val="22"/>
                <w:szCs w:val="22"/>
              </w:rPr>
              <w:t>C-I</w:t>
            </w:r>
          </w:p>
        </w:tc>
      </w:tr>
      <w:tr w:rsidR="00634F62" w:rsidRPr="00EB09B7" w:rsidTr="00634F62">
        <w:trPr>
          <w:tblCellSpacing w:w="15" w:type="dxa"/>
          <w:jc w:val="center"/>
        </w:trPr>
        <w:tc>
          <w:tcPr>
            <w:tcW w:w="1227" w:type="dxa"/>
            <w:tcBorders>
              <w:top w:val="outset" w:sz="6" w:space="0" w:color="auto"/>
              <w:left w:val="outset" w:sz="6" w:space="0" w:color="auto"/>
              <w:bottom w:val="outset" w:sz="6" w:space="0" w:color="auto"/>
              <w:right w:val="outset" w:sz="6" w:space="0" w:color="auto"/>
            </w:tcBorders>
            <w:vAlign w:val="center"/>
          </w:tcPr>
          <w:p w:rsidR="00634F62" w:rsidRPr="00EB09B7" w:rsidRDefault="00634F62" w:rsidP="00634F62">
            <w:pPr>
              <w:jc w:val="center"/>
              <w:rPr>
                <w:rFonts w:ascii="Arial" w:hAnsi="Arial" w:cs="Arial"/>
                <w:color w:val="000000"/>
              </w:rPr>
            </w:pPr>
            <w:r w:rsidRPr="00EB09B7">
              <w:rPr>
                <w:rFonts w:ascii="Arial" w:hAnsi="Arial" w:cs="Arial"/>
                <w:color w:val="000000"/>
                <w:sz w:val="22"/>
                <w:szCs w:val="22"/>
              </w:rPr>
              <w:t>Masses réduites</w:t>
            </w:r>
            <w:r w:rsidRPr="00EB09B7">
              <w:rPr>
                <w:rFonts w:ascii="Arial" w:hAnsi="Arial" w:cs="Arial"/>
                <w:color w:val="000000"/>
                <w:sz w:val="22"/>
                <w:szCs w:val="22"/>
              </w:rPr>
              <w:br/>
              <w:t>(</w:t>
            </w:r>
            <w:r>
              <w:rPr>
                <w:rFonts w:ascii="Arial" w:hAnsi="Arial" w:cs="Arial"/>
                <w:noProof/>
                <w:color w:val="000000"/>
                <w:sz w:val="22"/>
                <w:szCs w:val="22"/>
              </w:rPr>
              <w:drawing>
                <wp:inline distT="0" distB="0" distL="0" distR="0">
                  <wp:extent cx="95250" cy="114300"/>
                  <wp:effectExtent l="19050" t="0" r="0" b="0"/>
                  <wp:docPr id="31" name="Image 5" descr="http://www.uel.education.fr/consultation/reference/chimie/spectro/infra_rouge/images/symboles/mu.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uel.education.fr/consultation/reference/chimie/spectro/infra_rouge/images/symboles/mu.gif"/>
                          <pic:cNvPicPr>
                            <a:picLocks noChangeAspect="1" noChangeArrowheads="1"/>
                          </pic:cNvPicPr>
                        </pic:nvPicPr>
                        <pic:blipFill>
                          <a:blip r:embed="rId17" r:link="rId19" cstate="print"/>
                          <a:srcRect/>
                          <a:stretch>
                            <a:fillRect/>
                          </a:stretch>
                        </pic:blipFill>
                        <pic:spPr bwMode="auto">
                          <a:xfrm>
                            <a:off x="0" y="0"/>
                            <a:ext cx="95250" cy="114300"/>
                          </a:xfrm>
                          <a:prstGeom prst="rect">
                            <a:avLst/>
                          </a:prstGeom>
                          <a:noFill/>
                          <a:ln w="9525">
                            <a:noFill/>
                            <a:miter lim="800000"/>
                            <a:headEnd/>
                            <a:tailEnd/>
                          </a:ln>
                        </pic:spPr>
                      </pic:pic>
                    </a:graphicData>
                  </a:graphic>
                </wp:inline>
              </w:drawing>
            </w:r>
            <w:r w:rsidRPr="00EB09B7">
              <w:rPr>
                <w:rFonts w:ascii="Arial" w:hAnsi="Arial" w:cs="Arial"/>
                <w:color w:val="000000"/>
                <w:sz w:val="22"/>
                <w:szCs w:val="22"/>
              </w:rPr>
              <w:t xml:space="preserve"> en 10</w:t>
            </w:r>
            <w:r w:rsidRPr="00EB09B7">
              <w:rPr>
                <w:rFonts w:ascii="Arial" w:hAnsi="Arial" w:cs="Arial"/>
                <w:color w:val="000000"/>
                <w:sz w:val="22"/>
                <w:szCs w:val="22"/>
                <w:vertAlign w:val="superscript"/>
              </w:rPr>
              <w:t>-</w:t>
            </w:r>
            <w:smartTag w:uri="urn:schemas-microsoft-com:office:smarttags" w:element="metricconverter">
              <w:smartTagPr>
                <w:attr w:name="ProductID" w:val="26 kg"/>
              </w:smartTagPr>
              <w:r w:rsidRPr="00EB09B7">
                <w:rPr>
                  <w:rFonts w:ascii="Arial" w:hAnsi="Arial" w:cs="Arial"/>
                  <w:color w:val="000000"/>
                  <w:sz w:val="22"/>
                  <w:szCs w:val="22"/>
                  <w:vertAlign w:val="superscript"/>
                </w:rPr>
                <w:t>26</w:t>
              </w:r>
              <w:r w:rsidRPr="00EB09B7">
                <w:rPr>
                  <w:rFonts w:ascii="Arial" w:hAnsi="Arial" w:cs="Arial"/>
                  <w:color w:val="000000"/>
                  <w:sz w:val="22"/>
                  <w:szCs w:val="22"/>
                </w:rPr>
                <w:t xml:space="preserve"> kg</w:t>
              </w:r>
            </w:smartTag>
            <w:r w:rsidRPr="00EB09B7">
              <w:rPr>
                <w:rFonts w:ascii="Arial" w:hAnsi="Arial" w:cs="Arial"/>
                <w:color w:val="000000"/>
                <w:sz w:val="22"/>
                <w:szCs w:val="22"/>
              </w:rPr>
              <w:t>)</w:t>
            </w:r>
          </w:p>
        </w:tc>
        <w:tc>
          <w:tcPr>
            <w:tcW w:w="552" w:type="dxa"/>
            <w:tcBorders>
              <w:top w:val="outset" w:sz="6" w:space="0" w:color="auto"/>
              <w:left w:val="outset" w:sz="6" w:space="0" w:color="auto"/>
              <w:bottom w:val="outset" w:sz="6" w:space="0" w:color="auto"/>
              <w:right w:val="outset" w:sz="6" w:space="0" w:color="auto"/>
            </w:tcBorders>
            <w:vAlign w:val="center"/>
          </w:tcPr>
          <w:p w:rsidR="00634F62" w:rsidRPr="00EB09B7" w:rsidRDefault="00634F62" w:rsidP="00634F62">
            <w:pPr>
              <w:jc w:val="center"/>
              <w:rPr>
                <w:rFonts w:ascii="Arial" w:hAnsi="Arial" w:cs="Arial"/>
                <w:color w:val="000000"/>
              </w:rPr>
            </w:pPr>
            <w:r w:rsidRPr="00EB09B7">
              <w:rPr>
                <w:rFonts w:ascii="Arial" w:hAnsi="Arial" w:cs="Arial"/>
                <w:color w:val="000000"/>
                <w:sz w:val="22"/>
                <w:szCs w:val="22"/>
              </w:rPr>
              <w:t>0,15</w:t>
            </w:r>
          </w:p>
        </w:tc>
        <w:tc>
          <w:tcPr>
            <w:tcW w:w="552" w:type="dxa"/>
            <w:tcBorders>
              <w:top w:val="outset" w:sz="6" w:space="0" w:color="auto"/>
              <w:left w:val="outset" w:sz="6" w:space="0" w:color="auto"/>
              <w:bottom w:val="outset" w:sz="6" w:space="0" w:color="auto"/>
              <w:right w:val="outset" w:sz="6" w:space="0" w:color="auto"/>
            </w:tcBorders>
            <w:vAlign w:val="center"/>
          </w:tcPr>
          <w:p w:rsidR="00634F62" w:rsidRPr="00EB09B7" w:rsidRDefault="00634F62" w:rsidP="00634F62">
            <w:pPr>
              <w:jc w:val="center"/>
              <w:rPr>
                <w:rFonts w:ascii="Arial" w:hAnsi="Arial" w:cs="Arial"/>
                <w:color w:val="000000"/>
              </w:rPr>
            </w:pPr>
            <w:r w:rsidRPr="00EB09B7">
              <w:rPr>
                <w:rFonts w:ascii="Arial" w:hAnsi="Arial" w:cs="Arial"/>
                <w:color w:val="000000"/>
                <w:sz w:val="22"/>
                <w:szCs w:val="22"/>
              </w:rPr>
              <w:t>0,99</w:t>
            </w:r>
          </w:p>
        </w:tc>
        <w:tc>
          <w:tcPr>
            <w:tcW w:w="552" w:type="dxa"/>
            <w:tcBorders>
              <w:top w:val="outset" w:sz="6" w:space="0" w:color="auto"/>
              <w:left w:val="outset" w:sz="6" w:space="0" w:color="auto"/>
              <w:bottom w:val="outset" w:sz="6" w:space="0" w:color="auto"/>
              <w:right w:val="outset" w:sz="6" w:space="0" w:color="auto"/>
            </w:tcBorders>
            <w:vAlign w:val="center"/>
          </w:tcPr>
          <w:p w:rsidR="00634F62" w:rsidRPr="00EB09B7" w:rsidRDefault="00634F62" w:rsidP="00634F62">
            <w:pPr>
              <w:jc w:val="center"/>
              <w:rPr>
                <w:rFonts w:ascii="Arial" w:hAnsi="Arial" w:cs="Arial"/>
                <w:color w:val="000000"/>
              </w:rPr>
            </w:pPr>
            <w:r w:rsidRPr="00EB09B7">
              <w:rPr>
                <w:rFonts w:ascii="Arial" w:hAnsi="Arial" w:cs="Arial"/>
                <w:color w:val="000000"/>
                <w:sz w:val="22"/>
                <w:szCs w:val="22"/>
              </w:rPr>
              <w:t>1,21</w:t>
            </w:r>
          </w:p>
        </w:tc>
        <w:tc>
          <w:tcPr>
            <w:tcW w:w="657" w:type="dxa"/>
            <w:tcBorders>
              <w:top w:val="outset" w:sz="6" w:space="0" w:color="auto"/>
              <w:left w:val="outset" w:sz="6" w:space="0" w:color="auto"/>
              <w:bottom w:val="outset" w:sz="6" w:space="0" w:color="auto"/>
              <w:right w:val="outset" w:sz="6" w:space="0" w:color="auto"/>
            </w:tcBorders>
            <w:vAlign w:val="center"/>
          </w:tcPr>
          <w:p w:rsidR="00634F62" w:rsidRPr="00EB09B7" w:rsidRDefault="00634F62" w:rsidP="00634F62">
            <w:pPr>
              <w:jc w:val="center"/>
              <w:rPr>
                <w:rFonts w:ascii="Arial" w:hAnsi="Arial" w:cs="Arial"/>
                <w:color w:val="000000"/>
              </w:rPr>
            </w:pPr>
            <w:r w:rsidRPr="00EB09B7">
              <w:rPr>
                <w:rFonts w:ascii="Arial" w:hAnsi="Arial" w:cs="Arial"/>
                <w:color w:val="000000"/>
                <w:sz w:val="22"/>
                <w:szCs w:val="22"/>
              </w:rPr>
              <w:t>1,48</w:t>
            </w:r>
          </w:p>
        </w:tc>
        <w:tc>
          <w:tcPr>
            <w:tcW w:w="690" w:type="dxa"/>
            <w:tcBorders>
              <w:top w:val="outset" w:sz="6" w:space="0" w:color="auto"/>
              <w:left w:val="outset" w:sz="6" w:space="0" w:color="auto"/>
              <w:bottom w:val="outset" w:sz="6" w:space="0" w:color="auto"/>
              <w:right w:val="outset" w:sz="6" w:space="0" w:color="auto"/>
            </w:tcBorders>
            <w:vAlign w:val="center"/>
          </w:tcPr>
          <w:p w:rsidR="00634F62" w:rsidRPr="00EB09B7" w:rsidRDefault="00634F62" w:rsidP="00634F62">
            <w:pPr>
              <w:jc w:val="center"/>
              <w:rPr>
                <w:rFonts w:ascii="Arial" w:hAnsi="Arial" w:cs="Arial"/>
                <w:color w:val="000000"/>
              </w:rPr>
            </w:pPr>
            <w:r w:rsidRPr="00EB09B7">
              <w:rPr>
                <w:rFonts w:ascii="Arial" w:hAnsi="Arial" w:cs="Arial"/>
                <w:color w:val="000000"/>
                <w:sz w:val="22"/>
                <w:szCs w:val="22"/>
              </w:rPr>
              <w:t>1,73</w:t>
            </w:r>
          </w:p>
        </w:tc>
        <w:tc>
          <w:tcPr>
            <w:tcW w:w="492" w:type="dxa"/>
            <w:tcBorders>
              <w:top w:val="outset" w:sz="6" w:space="0" w:color="auto"/>
              <w:left w:val="outset" w:sz="6" w:space="0" w:color="auto"/>
              <w:bottom w:val="outset" w:sz="6" w:space="0" w:color="auto"/>
              <w:right w:val="outset" w:sz="6" w:space="0" w:color="auto"/>
            </w:tcBorders>
            <w:vAlign w:val="center"/>
          </w:tcPr>
          <w:p w:rsidR="00634F62" w:rsidRPr="00EB09B7" w:rsidRDefault="00634F62" w:rsidP="00634F62">
            <w:pPr>
              <w:jc w:val="center"/>
              <w:rPr>
                <w:rFonts w:ascii="Arial" w:hAnsi="Arial" w:cs="Arial"/>
                <w:color w:val="000000"/>
              </w:rPr>
            </w:pPr>
            <w:r w:rsidRPr="00EB09B7">
              <w:rPr>
                <w:rFonts w:ascii="Arial" w:hAnsi="Arial" w:cs="Arial"/>
                <w:color w:val="000000"/>
                <w:sz w:val="22"/>
                <w:szCs w:val="22"/>
              </w:rPr>
              <w:t>1,82</w:t>
            </w:r>
          </w:p>
        </w:tc>
      </w:tr>
      <w:tr w:rsidR="00634F62" w:rsidRPr="00EB09B7" w:rsidTr="00634F62">
        <w:trPr>
          <w:tblCellSpacing w:w="15" w:type="dxa"/>
          <w:jc w:val="center"/>
        </w:trPr>
        <w:tc>
          <w:tcPr>
            <w:tcW w:w="1227" w:type="dxa"/>
            <w:tcBorders>
              <w:top w:val="outset" w:sz="6" w:space="0" w:color="auto"/>
              <w:left w:val="outset" w:sz="6" w:space="0" w:color="auto"/>
              <w:bottom w:val="outset" w:sz="6" w:space="0" w:color="auto"/>
              <w:right w:val="outset" w:sz="6" w:space="0" w:color="auto"/>
            </w:tcBorders>
            <w:vAlign w:val="center"/>
          </w:tcPr>
          <w:p w:rsidR="00634F62" w:rsidRPr="00EB09B7" w:rsidRDefault="00634F62" w:rsidP="00634F62">
            <w:pPr>
              <w:jc w:val="center"/>
              <w:rPr>
                <w:rFonts w:ascii="Arial" w:hAnsi="Arial" w:cs="Arial"/>
                <w:color w:val="000000"/>
              </w:rPr>
            </w:pPr>
            <w:r w:rsidRPr="00EB09B7">
              <w:rPr>
                <w:rFonts w:ascii="Arial" w:hAnsi="Arial" w:cs="Arial"/>
                <w:color w:val="000000"/>
                <w:sz w:val="22"/>
                <w:szCs w:val="22"/>
              </w:rPr>
              <w:t>Fréquences de vibration en  cm</w:t>
            </w:r>
            <w:r w:rsidRPr="00EB09B7">
              <w:rPr>
                <w:rFonts w:ascii="Arial" w:hAnsi="Arial" w:cs="Arial"/>
                <w:color w:val="000000"/>
                <w:sz w:val="22"/>
                <w:szCs w:val="22"/>
                <w:vertAlign w:val="superscript"/>
              </w:rPr>
              <w:t>-1</w:t>
            </w:r>
          </w:p>
        </w:tc>
        <w:tc>
          <w:tcPr>
            <w:tcW w:w="552" w:type="dxa"/>
            <w:tcBorders>
              <w:top w:val="outset" w:sz="6" w:space="0" w:color="auto"/>
              <w:left w:val="outset" w:sz="6" w:space="0" w:color="auto"/>
              <w:bottom w:val="outset" w:sz="6" w:space="0" w:color="auto"/>
              <w:right w:val="outset" w:sz="6" w:space="0" w:color="auto"/>
            </w:tcBorders>
            <w:vAlign w:val="center"/>
          </w:tcPr>
          <w:p w:rsidR="00634F62" w:rsidRPr="00EB09B7" w:rsidRDefault="00634F62" w:rsidP="00634F62">
            <w:pPr>
              <w:jc w:val="center"/>
              <w:rPr>
                <w:rFonts w:ascii="Arial" w:hAnsi="Arial" w:cs="Arial"/>
                <w:color w:val="000000"/>
              </w:rPr>
            </w:pPr>
            <w:r w:rsidRPr="00EB09B7">
              <w:rPr>
                <w:rFonts w:ascii="Arial" w:hAnsi="Arial" w:cs="Arial"/>
                <w:color w:val="000000"/>
                <w:sz w:val="22"/>
                <w:szCs w:val="22"/>
              </w:rPr>
              <w:t>3030</w:t>
            </w:r>
          </w:p>
        </w:tc>
        <w:tc>
          <w:tcPr>
            <w:tcW w:w="552" w:type="dxa"/>
            <w:tcBorders>
              <w:top w:val="outset" w:sz="6" w:space="0" w:color="auto"/>
              <w:left w:val="outset" w:sz="6" w:space="0" w:color="auto"/>
              <w:bottom w:val="outset" w:sz="6" w:space="0" w:color="auto"/>
              <w:right w:val="outset" w:sz="6" w:space="0" w:color="auto"/>
            </w:tcBorders>
            <w:vAlign w:val="center"/>
          </w:tcPr>
          <w:p w:rsidR="00634F62" w:rsidRPr="00EB09B7" w:rsidRDefault="00634F62" w:rsidP="00634F62">
            <w:pPr>
              <w:jc w:val="center"/>
              <w:rPr>
                <w:rFonts w:ascii="Arial" w:hAnsi="Arial" w:cs="Arial"/>
                <w:color w:val="000000"/>
              </w:rPr>
            </w:pPr>
            <w:r w:rsidRPr="00EB09B7">
              <w:rPr>
                <w:rFonts w:ascii="Arial" w:hAnsi="Arial" w:cs="Arial"/>
                <w:color w:val="000000"/>
                <w:sz w:val="22"/>
                <w:szCs w:val="22"/>
              </w:rPr>
              <w:t>1100</w:t>
            </w:r>
          </w:p>
        </w:tc>
        <w:tc>
          <w:tcPr>
            <w:tcW w:w="552" w:type="dxa"/>
            <w:tcBorders>
              <w:top w:val="outset" w:sz="6" w:space="0" w:color="auto"/>
              <w:left w:val="outset" w:sz="6" w:space="0" w:color="auto"/>
              <w:bottom w:val="outset" w:sz="6" w:space="0" w:color="auto"/>
              <w:right w:val="outset" w:sz="6" w:space="0" w:color="auto"/>
            </w:tcBorders>
            <w:vAlign w:val="center"/>
          </w:tcPr>
          <w:p w:rsidR="00634F62" w:rsidRPr="00EB09B7" w:rsidRDefault="00634F62" w:rsidP="00634F62">
            <w:pPr>
              <w:jc w:val="center"/>
              <w:rPr>
                <w:rFonts w:ascii="Arial" w:hAnsi="Arial" w:cs="Arial"/>
                <w:color w:val="000000"/>
              </w:rPr>
            </w:pPr>
            <w:r w:rsidRPr="00EB09B7">
              <w:rPr>
                <w:rFonts w:ascii="Arial" w:hAnsi="Arial" w:cs="Arial"/>
                <w:color w:val="000000"/>
                <w:sz w:val="22"/>
                <w:szCs w:val="22"/>
              </w:rPr>
              <w:t>1000</w:t>
            </w:r>
          </w:p>
        </w:tc>
        <w:tc>
          <w:tcPr>
            <w:tcW w:w="657" w:type="dxa"/>
            <w:tcBorders>
              <w:top w:val="outset" w:sz="6" w:space="0" w:color="auto"/>
              <w:left w:val="outset" w:sz="6" w:space="0" w:color="auto"/>
              <w:bottom w:val="outset" w:sz="6" w:space="0" w:color="auto"/>
              <w:right w:val="outset" w:sz="6" w:space="0" w:color="auto"/>
            </w:tcBorders>
            <w:vAlign w:val="center"/>
          </w:tcPr>
          <w:p w:rsidR="00634F62" w:rsidRPr="00EB09B7" w:rsidRDefault="00634F62" w:rsidP="00634F62">
            <w:pPr>
              <w:jc w:val="center"/>
              <w:rPr>
                <w:rFonts w:ascii="Arial" w:hAnsi="Arial" w:cs="Arial"/>
                <w:color w:val="000000"/>
              </w:rPr>
            </w:pPr>
            <w:r w:rsidRPr="00EB09B7">
              <w:rPr>
                <w:rFonts w:ascii="Arial" w:hAnsi="Arial" w:cs="Arial"/>
                <w:color w:val="000000"/>
                <w:sz w:val="22"/>
                <w:szCs w:val="22"/>
              </w:rPr>
              <w:t>750</w:t>
            </w:r>
          </w:p>
        </w:tc>
        <w:tc>
          <w:tcPr>
            <w:tcW w:w="690" w:type="dxa"/>
            <w:tcBorders>
              <w:top w:val="outset" w:sz="6" w:space="0" w:color="auto"/>
              <w:left w:val="outset" w:sz="6" w:space="0" w:color="auto"/>
              <w:bottom w:val="outset" w:sz="6" w:space="0" w:color="auto"/>
              <w:right w:val="outset" w:sz="6" w:space="0" w:color="auto"/>
            </w:tcBorders>
            <w:vAlign w:val="center"/>
          </w:tcPr>
          <w:p w:rsidR="00634F62" w:rsidRPr="00EB09B7" w:rsidRDefault="00634F62" w:rsidP="00634F62">
            <w:pPr>
              <w:jc w:val="center"/>
              <w:rPr>
                <w:rFonts w:ascii="Arial" w:hAnsi="Arial" w:cs="Arial"/>
                <w:color w:val="000000"/>
              </w:rPr>
            </w:pPr>
            <w:r w:rsidRPr="00EB09B7">
              <w:rPr>
                <w:rFonts w:ascii="Arial" w:hAnsi="Arial" w:cs="Arial"/>
                <w:color w:val="000000"/>
                <w:sz w:val="22"/>
                <w:szCs w:val="22"/>
              </w:rPr>
              <w:t>600</w:t>
            </w:r>
          </w:p>
        </w:tc>
        <w:tc>
          <w:tcPr>
            <w:tcW w:w="492" w:type="dxa"/>
            <w:tcBorders>
              <w:top w:val="outset" w:sz="6" w:space="0" w:color="auto"/>
              <w:left w:val="outset" w:sz="6" w:space="0" w:color="auto"/>
              <w:bottom w:val="outset" w:sz="6" w:space="0" w:color="auto"/>
              <w:right w:val="outset" w:sz="6" w:space="0" w:color="auto"/>
            </w:tcBorders>
            <w:vAlign w:val="center"/>
          </w:tcPr>
          <w:p w:rsidR="00634F62" w:rsidRPr="00EB09B7" w:rsidRDefault="00634F62" w:rsidP="00634F62">
            <w:pPr>
              <w:jc w:val="center"/>
              <w:rPr>
                <w:rFonts w:ascii="Arial" w:hAnsi="Arial" w:cs="Arial"/>
                <w:color w:val="000000"/>
              </w:rPr>
            </w:pPr>
            <w:r w:rsidRPr="00EB09B7">
              <w:rPr>
                <w:rFonts w:ascii="Arial" w:hAnsi="Arial" w:cs="Arial"/>
                <w:color w:val="000000"/>
                <w:sz w:val="22"/>
                <w:szCs w:val="22"/>
              </w:rPr>
              <w:t>450</w:t>
            </w:r>
          </w:p>
        </w:tc>
      </w:tr>
    </w:tbl>
    <w:p w:rsidR="00634F62" w:rsidRPr="006C065B" w:rsidRDefault="00634F62" w:rsidP="00634F62">
      <w:pPr>
        <w:spacing w:line="360" w:lineRule="auto"/>
        <w:ind w:right="562"/>
        <w:jc w:val="both"/>
      </w:pPr>
      <w:r>
        <w:lastRenderedPageBreak/>
        <w:t xml:space="preserve">Remarque : L’effet de masse est utilisé pour localiser sur un spectre les vibrations des groupements </w:t>
      </w:r>
      <w:r w:rsidRPr="00AB774B">
        <w:t>C</w:t>
      </w:r>
      <w:r w:rsidRPr="00AB774B">
        <w:sym w:font="Symbol" w:char="F0BE"/>
      </w:r>
      <w:r w:rsidRPr="00AB774B">
        <w:t>H.</w:t>
      </w:r>
      <w:r w:rsidRPr="00F359B6">
        <w:t xml:space="preserve"> </w:t>
      </w:r>
      <w:r>
        <w:t>On utilise pour ceci la substitution isotopique d’atome d’hydrogène par du deutérium.</w:t>
      </w:r>
    </w:p>
    <w:p w:rsidR="00634F62" w:rsidRDefault="00634F62" w:rsidP="00634F62">
      <w:pPr>
        <w:spacing w:line="360" w:lineRule="auto"/>
        <w:ind w:right="562"/>
        <w:jc w:val="both"/>
      </w:pPr>
      <w:r w:rsidRPr="00AB774B">
        <w:t xml:space="preserve"> En effet, </w:t>
      </w:r>
      <w:r>
        <w:t xml:space="preserve">à partir de la relation précédente on peut montrer que </w:t>
      </w:r>
      <w:r w:rsidRPr="00AB774B">
        <w:t>le  rapport de la fréquence d’élongation du lien C</w:t>
      </w:r>
      <w:r w:rsidRPr="00AB774B">
        <w:sym w:font="Symbol" w:char="F0BE"/>
      </w:r>
      <w:r w:rsidRPr="00AB774B">
        <w:t>H sur celle du lien C</w:t>
      </w:r>
      <w:r w:rsidRPr="00AB774B">
        <w:sym w:font="Symbol" w:char="F0BE"/>
      </w:r>
      <w:r w:rsidRPr="00AB774B">
        <w:t>D vaut</w:t>
      </w:r>
      <w:r w:rsidRPr="00AB774B">
        <w:rPr>
          <w:position w:val="-6"/>
        </w:rPr>
        <w:object w:dxaOrig="420" w:dyaOrig="380">
          <v:shape id="_x0000_i1030" type="#_x0000_t75" style="width:21pt;height:19pt" o:ole="">
            <v:imagedata r:id="rId20" o:title=""/>
          </v:shape>
          <o:OLEObject Type="Embed" ProgID="Equation.3" ShapeID="_x0000_i1030" DrawAspect="Content" ObjectID="_1572675390" r:id="rId21"/>
        </w:object>
      </w:r>
      <w:r w:rsidRPr="00AB774B">
        <w:t xml:space="preserve">. </w:t>
      </w:r>
    </w:p>
    <w:p w:rsidR="00634F62" w:rsidRPr="006C065B" w:rsidRDefault="00634F62" w:rsidP="00634F62">
      <w:pPr>
        <w:spacing w:line="360" w:lineRule="auto"/>
        <w:ind w:right="562"/>
        <w:jc w:val="both"/>
      </w:pPr>
    </w:p>
    <w:p w:rsidR="00634F62" w:rsidRDefault="00634F62" w:rsidP="00634F62">
      <w:pPr>
        <w:pStyle w:val="NormalWeb"/>
        <w:spacing w:before="0" w:beforeAutospacing="0" w:after="0" w:afterAutospacing="0"/>
        <w:ind w:right="538"/>
        <w:rPr>
          <w:b/>
          <w:bCs/>
        </w:rPr>
      </w:pPr>
      <w:r w:rsidRPr="0014024E">
        <w:rPr>
          <w:b/>
          <w:bCs/>
        </w:rPr>
        <w:t xml:space="preserve"> III – 2 </w:t>
      </w:r>
      <w:r>
        <w:rPr>
          <w:b/>
          <w:bCs/>
        </w:rPr>
        <w:t>–  1</w:t>
      </w:r>
      <w:r w:rsidRPr="0014024E">
        <w:rPr>
          <w:b/>
          <w:bCs/>
        </w:rPr>
        <w:t xml:space="preserve"> -</w:t>
      </w:r>
      <w:r>
        <w:rPr>
          <w:b/>
          <w:bCs/>
        </w:rPr>
        <w:t xml:space="preserve"> F</w:t>
      </w:r>
      <w:r w:rsidRPr="00F44269">
        <w:rPr>
          <w:b/>
          <w:bCs/>
        </w:rPr>
        <w:t xml:space="preserve">acteurs </w:t>
      </w:r>
      <w:r>
        <w:rPr>
          <w:b/>
          <w:bCs/>
        </w:rPr>
        <w:t xml:space="preserve">agissant sur la constante de force d’un vibrateur supposé </w:t>
      </w:r>
    </w:p>
    <w:p w:rsidR="00634F62" w:rsidRDefault="00634F62" w:rsidP="00634F62">
      <w:pPr>
        <w:pStyle w:val="NormalWeb"/>
        <w:spacing w:before="0" w:beforeAutospacing="0" w:after="0" w:afterAutospacing="0"/>
        <w:ind w:right="538"/>
        <w:rPr>
          <w:b/>
          <w:bCs/>
        </w:rPr>
      </w:pPr>
      <w:r>
        <w:rPr>
          <w:b/>
          <w:bCs/>
        </w:rPr>
        <w:t xml:space="preserve">                      </w:t>
      </w:r>
      <w:proofErr w:type="gramStart"/>
      <w:r>
        <w:rPr>
          <w:b/>
          <w:bCs/>
        </w:rPr>
        <w:t>mécaniquement</w:t>
      </w:r>
      <w:proofErr w:type="gramEnd"/>
      <w:r>
        <w:rPr>
          <w:b/>
          <w:bCs/>
        </w:rPr>
        <w:t xml:space="preserve"> isolé</w:t>
      </w:r>
      <w:r w:rsidRPr="00F44269">
        <w:rPr>
          <w:b/>
          <w:bCs/>
        </w:rPr>
        <w:t xml:space="preserve"> </w:t>
      </w:r>
    </w:p>
    <w:p w:rsidR="000B5985" w:rsidRPr="00F44269" w:rsidRDefault="000B5985" w:rsidP="00634F62">
      <w:pPr>
        <w:pStyle w:val="NormalWeb"/>
        <w:spacing w:before="0" w:beforeAutospacing="0" w:after="0" w:afterAutospacing="0"/>
        <w:ind w:right="538"/>
        <w:rPr>
          <w:b/>
          <w:bCs/>
        </w:rPr>
      </w:pPr>
    </w:p>
    <w:p w:rsidR="00634F62" w:rsidRDefault="00634F62" w:rsidP="00634F62">
      <w:pPr>
        <w:autoSpaceDE w:val="0"/>
        <w:autoSpaceDN w:val="0"/>
        <w:adjustRightInd w:val="0"/>
        <w:spacing w:line="360" w:lineRule="auto"/>
        <w:ind w:right="562"/>
        <w:jc w:val="both"/>
      </w:pPr>
      <w:r>
        <w:tab/>
        <w:t>On peut classer les effets structuraux agissant sur un groupe fonctionnel suivant deux groupes : les effets électroniques et les effets stériques.</w:t>
      </w:r>
    </w:p>
    <w:p w:rsidR="00634F62" w:rsidRPr="00634F62" w:rsidRDefault="00634F62" w:rsidP="00634F62">
      <w:pPr>
        <w:autoSpaceDE w:val="0"/>
        <w:autoSpaceDN w:val="0"/>
        <w:adjustRightInd w:val="0"/>
        <w:spacing w:line="360" w:lineRule="auto"/>
        <w:ind w:right="562"/>
        <w:jc w:val="both"/>
      </w:pPr>
    </w:p>
    <w:p w:rsidR="00634F62" w:rsidRDefault="00634F62" w:rsidP="00634F62">
      <w:pPr>
        <w:spacing w:line="360" w:lineRule="auto"/>
        <w:ind w:right="562"/>
        <w:jc w:val="both"/>
        <w:rPr>
          <w:b/>
          <w:bCs/>
          <w:color w:val="000000"/>
        </w:rPr>
      </w:pPr>
      <w:r>
        <w:rPr>
          <w:b/>
          <w:bCs/>
          <w:color w:val="000000"/>
        </w:rPr>
        <w:t xml:space="preserve">III – 2 – 1 – 1 – Effet </w:t>
      </w:r>
      <w:r w:rsidRPr="00AC3711">
        <w:rPr>
          <w:b/>
          <w:bCs/>
          <w:color w:val="000000"/>
        </w:rPr>
        <w:t xml:space="preserve"> électronique </w:t>
      </w:r>
      <w:r>
        <w:rPr>
          <w:b/>
          <w:bCs/>
          <w:color w:val="000000"/>
        </w:rPr>
        <w:t>inductif et mésomère</w:t>
      </w:r>
    </w:p>
    <w:p w:rsidR="000B5985" w:rsidRPr="00634F62" w:rsidRDefault="000B5985" w:rsidP="00634F62">
      <w:pPr>
        <w:spacing w:line="360" w:lineRule="auto"/>
        <w:ind w:right="562"/>
        <w:jc w:val="both"/>
        <w:rPr>
          <w:b/>
          <w:bCs/>
          <w:color w:val="000000"/>
        </w:rPr>
      </w:pPr>
    </w:p>
    <w:p w:rsidR="00634F62" w:rsidRDefault="00634F62" w:rsidP="00634F62">
      <w:pPr>
        <w:autoSpaceDE w:val="0"/>
        <w:autoSpaceDN w:val="0"/>
        <w:adjustRightInd w:val="0"/>
        <w:spacing w:line="360" w:lineRule="auto"/>
        <w:ind w:right="562"/>
        <w:jc w:val="both"/>
        <w:rPr>
          <w:color w:val="000000"/>
        </w:rPr>
      </w:pPr>
      <w:r>
        <w:rPr>
          <w:color w:val="000000"/>
        </w:rPr>
        <w:tab/>
        <w:t>Les effets électroniques dépendent du mode d’action (inductif ou mésomère), du type d’électron (</w:t>
      </w:r>
      <w:r>
        <w:rPr>
          <w:color w:val="000000"/>
        </w:rPr>
        <w:sym w:font="Symbol" w:char="F073"/>
      </w:r>
      <w:r>
        <w:rPr>
          <w:color w:val="000000"/>
        </w:rPr>
        <w:t xml:space="preserve"> </w:t>
      </w:r>
      <w:proofErr w:type="gramStart"/>
      <w:r>
        <w:rPr>
          <w:color w:val="000000"/>
        </w:rPr>
        <w:t xml:space="preserve">ou </w:t>
      </w:r>
      <w:proofErr w:type="gramEnd"/>
      <w:r>
        <w:rPr>
          <w:color w:val="000000"/>
        </w:rPr>
        <w:sym w:font="Symbol" w:char="F070"/>
      </w:r>
      <w:r>
        <w:rPr>
          <w:color w:val="000000"/>
        </w:rPr>
        <w:t>) ainsi que de la distance entre le vibrateur en question et le groupement ou l’atome exerçant l’effet électronique.</w:t>
      </w:r>
    </w:p>
    <w:p w:rsidR="00634F62" w:rsidRDefault="00634F62" w:rsidP="00634F62">
      <w:pPr>
        <w:autoSpaceDE w:val="0"/>
        <w:autoSpaceDN w:val="0"/>
        <w:adjustRightInd w:val="0"/>
        <w:spacing w:line="360" w:lineRule="auto"/>
        <w:ind w:right="562"/>
        <w:jc w:val="both"/>
      </w:pPr>
    </w:p>
    <w:p w:rsidR="00634F62" w:rsidRDefault="00634F62" w:rsidP="00634F62">
      <w:pPr>
        <w:autoSpaceDE w:val="0"/>
        <w:autoSpaceDN w:val="0"/>
        <w:adjustRightInd w:val="0"/>
        <w:ind w:right="562"/>
        <w:jc w:val="both"/>
        <w:rPr>
          <w:b/>
          <w:bCs/>
          <w:i/>
          <w:iCs/>
        </w:rPr>
      </w:pPr>
      <w:r>
        <w:rPr>
          <w:b/>
          <w:bCs/>
          <w:i/>
          <w:iCs/>
        </w:rPr>
        <w:t>a - L'effet inductif</w:t>
      </w:r>
    </w:p>
    <w:p w:rsidR="00634F62" w:rsidRPr="00CC081C" w:rsidRDefault="00634F62" w:rsidP="00634F62">
      <w:pPr>
        <w:spacing w:before="100" w:beforeAutospacing="1" w:after="100" w:afterAutospacing="1" w:line="360" w:lineRule="auto"/>
        <w:rPr>
          <w:color w:val="FF0000"/>
        </w:rPr>
      </w:pPr>
      <w:r>
        <w:rPr>
          <w:b/>
          <w:bCs/>
          <w:i/>
          <w:iCs/>
        </w:rPr>
        <w:tab/>
      </w:r>
      <w:r w:rsidRPr="00A867CD">
        <w:rPr>
          <w:color w:val="000000"/>
        </w:rPr>
        <w:t xml:space="preserve">L'effet inductif entraîne une polarisation de la liaison, donc une augmentation du moment dipolaire et de la constante de force. </w:t>
      </w:r>
      <w:r w:rsidRPr="00A867CD">
        <w:rPr>
          <w:color w:val="000000"/>
        </w:rPr>
        <w:br/>
        <w:t>Plus le moment dipolaire est important, plus l'intensité est grande. Plus la constante de force est importante, plus la fréquence est élevée.</w:t>
      </w:r>
      <w:r>
        <w:rPr>
          <w:color w:val="000000"/>
        </w:rPr>
        <w:t xml:space="preserve"> </w:t>
      </w:r>
    </w:p>
    <w:p w:rsidR="00634F62" w:rsidRDefault="00634F62" w:rsidP="00634F62">
      <w:pPr>
        <w:autoSpaceDE w:val="0"/>
        <w:autoSpaceDN w:val="0"/>
        <w:adjustRightInd w:val="0"/>
        <w:spacing w:line="360" w:lineRule="auto"/>
        <w:ind w:right="562"/>
        <w:jc w:val="both"/>
        <w:rPr>
          <w:b/>
          <w:bCs/>
          <w:i/>
          <w:iCs/>
        </w:rPr>
      </w:pPr>
      <w:r>
        <w:rPr>
          <w:b/>
          <w:bCs/>
          <w:i/>
          <w:iCs/>
        </w:rPr>
        <w:t>b - L'effet mésomère</w:t>
      </w:r>
    </w:p>
    <w:p w:rsidR="000B5985" w:rsidRPr="00634F62" w:rsidRDefault="000B5985" w:rsidP="00634F62">
      <w:pPr>
        <w:autoSpaceDE w:val="0"/>
        <w:autoSpaceDN w:val="0"/>
        <w:adjustRightInd w:val="0"/>
        <w:spacing w:line="360" w:lineRule="auto"/>
        <w:ind w:right="562"/>
        <w:jc w:val="both"/>
        <w:rPr>
          <w:b/>
          <w:bCs/>
          <w:i/>
          <w:iCs/>
        </w:rPr>
      </w:pPr>
    </w:p>
    <w:p w:rsidR="00634F62" w:rsidRDefault="00634F62" w:rsidP="00634F62">
      <w:pPr>
        <w:autoSpaceDE w:val="0"/>
        <w:autoSpaceDN w:val="0"/>
        <w:adjustRightInd w:val="0"/>
        <w:spacing w:line="360" w:lineRule="auto"/>
        <w:ind w:right="562" w:firstLine="708"/>
        <w:jc w:val="both"/>
      </w:pPr>
      <w:r>
        <w:t xml:space="preserve">Pour que </w:t>
      </w:r>
      <w:r w:rsidRPr="000A52BE">
        <w:rPr>
          <w:bCs/>
          <w:iCs/>
        </w:rPr>
        <w:t>l'effet mésomère</w:t>
      </w:r>
      <w:r>
        <w:t xml:space="preserve"> existe il faut un système d'électrons </w:t>
      </w:r>
      <w:proofErr w:type="spellStart"/>
      <w:r>
        <w:t>délocalisable</w:t>
      </w:r>
      <w:proofErr w:type="spellEnd"/>
      <w:r>
        <w:t xml:space="preserve">. </w:t>
      </w:r>
    </w:p>
    <w:p w:rsidR="00634F62" w:rsidRPr="001D76A2" w:rsidRDefault="00634F62" w:rsidP="00634F62">
      <w:pPr>
        <w:autoSpaceDE w:val="0"/>
        <w:autoSpaceDN w:val="0"/>
        <w:adjustRightInd w:val="0"/>
        <w:spacing w:line="360" w:lineRule="auto"/>
        <w:ind w:right="562"/>
        <w:jc w:val="both"/>
      </w:pPr>
      <w:r>
        <w:t xml:space="preserve">Si  parallèlement il y a présence d’effet inductif et mésomère, ces deux effets s'ajoutent s’ils sont de même signe. S'ils sont de signe contraire, </w:t>
      </w:r>
      <w:r w:rsidRPr="001D76A2">
        <w:t xml:space="preserve">c'est </w:t>
      </w:r>
      <w:r w:rsidRPr="001D76A2">
        <w:rPr>
          <w:b/>
          <w:bCs/>
        </w:rPr>
        <w:t>l'effet mésomère qui impose son influence,</w:t>
      </w:r>
      <w:r w:rsidRPr="001D76A2">
        <w:t xml:space="preserve"> dans presque tous les cas.</w:t>
      </w:r>
    </w:p>
    <w:p w:rsidR="000B5985" w:rsidRDefault="000B5985" w:rsidP="00634F62">
      <w:pPr>
        <w:autoSpaceDE w:val="0"/>
        <w:autoSpaceDN w:val="0"/>
        <w:adjustRightInd w:val="0"/>
        <w:spacing w:line="360" w:lineRule="auto"/>
        <w:ind w:right="562"/>
        <w:jc w:val="both"/>
        <w:rPr>
          <w:color w:val="000000"/>
        </w:rPr>
      </w:pPr>
    </w:p>
    <w:p w:rsidR="000B5985" w:rsidRDefault="000B5985" w:rsidP="00634F62">
      <w:pPr>
        <w:autoSpaceDE w:val="0"/>
        <w:autoSpaceDN w:val="0"/>
        <w:adjustRightInd w:val="0"/>
        <w:spacing w:line="360" w:lineRule="auto"/>
        <w:ind w:right="562"/>
        <w:jc w:val="both"/>
        <w:rPr>
          <w:color w:val="000000"/>
        </w:rPr>
      </w:pPr>
    </w:p>
    <w:p w:rsidR="000B5985" w:rsidRDefault="000B5985" w:rsidP="00634F62">
      <w:pPr>
        <w:autoSpaceDE w:val="0"/>
        <w:autoSpaceDN w:val="0"/>
        <w:adjustRightInd w:val="0"/>
        <w:spacing w:line="360" w:lineRule="auto"/>
        <w:ind w:right="562"/>
        <w:jc w:val="both"/>
        <w:rPr>
          <w:color w:val="000000"/>
        </w:rPr>
      </w:pPr>
    </w:p>
    <w:p w:rsidR="000B5985" w:rsidRDefault="000B5985" w:rsidP="00634F62">
      <w:pPr>
        <w:autoSpaceDE w:val="0"/>
        <w:autoSpaceDN w:val="0"/>
        <w:adjustRightInd w:val="0"/>
        <w:spacing w:line="360" w:lineRule="auto"/>
        <w:ind w:right="562"/>
        <w:jc w:val="both"/>
        <w:rPr>
          <w:color w:val="000000"/>
        </w:rPr>
      </w:pPr>
    </w:p>
    <w:p w:rsidR="00634F62" w:rsidRDefault="00634F62" w:rsidP="00634F62">
      <w:pPr>
        <w:autoSpaceDE w:val="0"/>
        <w:autoSpaceDN w:val="0"/>
        <w:adjustRightInd w:val="0"/>
        <w:spacing w:line="360" w:lineRule="auto"/>
        <w:ind w:right="562"/>
        <w:jc w:val="both"/>
        <w:rPr>
          <w:color w:val="000000"/>
        </w:rPr>
      </w:pPr>
      <w:r>
        <w:rPr>
          <w:color w:val="000000"/>
        </w:rPr>
        <w:lastRenderedPageBreak/>
        <w:t xml:space="preserve">Exemple :                                </w:t>
      </w:r>
    </w:p>
    <w:p w:rsidR="00634F62" w:rsidRPr="00303114" w:rsidRDefault="00634F62" w:rsidP="00634F62">
      <w:pPr>
        <w:autoSpaceDE w:val="0"/>
        <w:autoSpaceDN w:val="0"/>
        <w:adjustRightInd w:val="0"/>
        <w:spacing w:line="360" w:lineRule="auto"/>
        <w:ind w:right="562"/>
        <w:jc w:val="center"/>
        <w:rPr>
          <w:color w:val="000000"/>
        </w:rPr>
      </w:pPr>
      <w:r>
        <w:rPr>
          <w:color w:val="000000"/>
        </w:rPr>
        <w:t xml:space="preserve">Tableau 3 : Fréquences </w:t>
      </w:r>
      <w:r>
        <w:rPr>
          <w:color w:val="000000"/>
        </w:rPr>
        <w:sym w:font="Symbol" w:char="F06E"/>
      </w:r>
      <w:r>
        <w:rPr>
          <w:color w:val="000000"/>
          <w:vertAlign w:val="subscript"/>
        </w:rPr>
        <w:t xml:space="preserve">OH </w:t>
      </w:r>
      <w:r>
        <w:rPr>
          <w:color w:val="000000"/>
        </w:rPr>
        <w:t>d’une série de phénols substituées en para.</w:t>
      </w:r>
    </w:p>
    <w:tbl>
      <w:tblPr>
        <w:tblStyle w:val="Grilledutableau"/>
        <w:tblpPr w:leftFromText="141" w:rightFromText="141" w:vertAnchor="text" w:horzAnchor="page" w:tblpX="4911" w:tblpY="216"/>
        <w:tblW w:w="0" w:type="auto"/>
        <w:tblLook w:val="01E0"/>
      </w:tblPr>
      <w:tblGrid>
        <w:gridCol w:w="2584"/>
        <w:gridCol w:w="2456"/>
      </w:tblGrid>
      <w:tr w:rsidR="00634F62" w:rsidTr="00634F62">
        <w:tc>
          <w:tcPr>
            <w:tcW w:w="2584" w:type="dxa"/>
          </w:tcPr>
          <w:p w:rsidR="00634F62" w:rsidRDefault="00634F62" w:rsidP="00634F62">
            <w:pPr>
              <w:spacing w:line="360" w:lineRule="auto"/>
              <w:ind w:right="562"/>
              <w:jc w:val="center"/>
              <w:rPr>
                <w:color w:val="000000"/>
              </w:rPr>
            </w:pPr>
            <w:r>
              <w:rPr>
                <w:color w:val="000000"/>
              </w:rPr>
              <w:t>X</w:t>
            </w:r>
          </w:p>
        </w:tc>
        <w:tc>
          <w:tcPr>
            <w:tcW w:w="2456" w:type="dxa"/>
          </w:tcPr>
          <w:p w:rsidR="00634F62" w:rsidRPr="00FA020F" w:rsidRDefault="00634F62" w:rsidP="00634F62">
            <w:pPr>
              <w:spacing w:line="360" w:lineRule="auto"/>
              <w:ind w:right="562"/>
              <w:jc w:val="center"/>
              <w:rPr>
                <w:color w:val="000000"/>
                <w:vertAlign w:val="superscript"/>
              </w:rPr>
            </w:pPr>
            <w:r>
              <w:rPr>
                <w:color w:val="000000"/>
              </w:rPr>
              <w:sym w:font="Symbol" w:char="F06E"/>
            </w:r>
            <w:r>
              <w:rPr>
                <w:color w:val="000000"/>
              </w:rPr>
              <w:t>(OH) cm</w:t>
            </w:r>
            <w:r>
              <w:rPr>
                <w:color w:val="000000"/>
                <w:vertAlign w:val="superscript"/>
              </w:rPr>
              <w:t>-1</w:t>
            </w:r>
          </w:p>
        </w:tc>
      </w:tr>
      <w:tr w:rsidR="00634F62" w:rsidRPr="00FA020F" w:rsidTr="00634F62">
        <w:tc>
          <w:tcPr>
            <w:tcW w:w="2584" w:type="dxa"/>
          </w:tcPr>
          <w:p w:rsidR="00634F62" w:rsidRPr="00AE0948" w:rsidRDefault="00634F62" w:rsidP="00634F62">
            <w:pPr>
              <w:tabs>
                <w:tab w:val="left" w:pos="2368"/>
              </w:tabs>
              <w:spacing w:line="360" w:lineRule="auto"/>
              <w:ind w:right="562"/>
              <w:jc w:val="center"/>
              <w:rPr>
                <w:color w:val="000000"/>
                <w:vertAlign w:val="subscript"/>
                <w:lang w:val="pt-BR"/>
              </w:rPr>
            </w:pPr>
            <w:r w:rsidRPr="00AE0948">
              <w:rPr>
                <w:color w:val="000000"/>
                <w:lang w:val="pt-BR"/>
              </w:rPr>
              <w:t>NH</w:t>
            </w:r>
            <w:r w:rsidRPr="00AE0948">
              <w:rPr>
                <w:color w:val="000000"/>
                <w:vertAlign w:val="subscript"/>
                <w:lang w:val="pt-BR"/>
              </w:rPr>
              <w:t>2</w:t>
            </w:r>
          </w:p>
          <w:p w:rsidR="00634F62" w:rsidRPr="00AE0948" w:rsidRDefault="00634F62" w:rsidP="00634F62">
            <w:pPr>
              <w:tabs>
                <w:tab w:val="left" w:pos="2368"/>
              </w:tabs>
              <w:spacing w:line="360" w:lineRule="auto"/>
              <w:ind w:right="562"/>
              <w:jc w:val="center"/>
              <w:rPr>
                <w:color w:val="000000"/>
                <w:lang w:val="pt-BR"/>
              </w:rPr>
            </w:pPr>
            <w:r w:rsidRPr="00AE0948">
              <w:rPr>
                <w:color w:val="000000"/>
                <w:lang w:val="pt-BR"/>
              </w:rPr>
              <w:t>OH</w:t>
            </w:r>
          </w:p>
          <w:p w:rsidR="00634F62" w:rsidRPr="00FA020F" w:rsidRDefault="00634F62" w:rsidP="00634F62">
            <w:pPr>
              <w:tabs>
                <w:tab w:val="left" w:pos="2368"/>
              </w:tabs>
              <w:spacing w:line="360" w:lineRule="auto"/>
              <w:ind w:right="562"/>
              <w:jc w:val="center"/>
              <w:rPr>
                <w:color w:val="000000"/>
                <w:lang w:val="pt-BR"/>
              </w:rPr>
            </w:pPr>
            <w:r w:rsidRPr="00FA020F">
              <w:rPr>
                <w:color w:val="000000"/>
                <w:lang w:val="pt-BR"/>
              </w:rPr>
              <w:t>H</w:t>
            </w:r>
          </w:p>
          <w:p w:rsidR="00634F62" w:rsidRPr="00FA020F" w:rsidRDefault="00634F62" w:rsidP="00634F62">
            <w:pPr>
              <w:tabs>
                <w:tab w:val="left" w:pos="2368"/>
              </w:tabs>
              <w:spacing w:line="360" w:lineRule="auto"/>
              <w:ind w:right="562"/>
              <w:jc w:val="center"/>
              <w:rPr>
                <w:color w:val="000000"/>
                <w:lang w:val="pt-BR"/>
              </w:rPr>
            </w:pPr>
            <w:r w:rsidRPr="00FA020F">
              <w:rPr>
                <w:color w:val="000000"/>
                <w:lang w:val="pt-BR"/>
              </w:rPr>
              <w:t>F</w:t>
            </w:r>
          </w:p>
          <w:p w:rsidR="00634F62" w:rsidRPr="00FA020F" w:rsidRDefault="00634F62" w:rsidP="00634F62">
            <w:pPr>
              <w:tabs>
                <w:tab w:val="left" w:pos="2368"/>
              </w:tabs>
              <w:spacing w:line="360" w:lineRule="auto"/>
              <w:ind w:right="562"/>
              <w:jc w:val="center"/>
              <w:rPr>
                <w:color w:val="000000"/>
                <w:lang w:val="pt-BR"/>
              </w:rPr>
            </w:pPr>
            <w:r w:rsidRPr="00FA020F">
              <w:rPr>
                <w:color w:val="000000"/>
                <w:lang w:val="pt-BR"/>
              </w:rPr>
              <w:t>Cl</w:t>
            </w:r>
          </w:p>
          <w:p w:rsidR="00634F62" w:rsidRPr="00FA020F" w:rsidRDefault="00634F62" w:rsidP="00634F62">
            <w:pPr>
              <w:tabs>
                <w:tab w:val="left" w:pos="2368"/>
              </w:tabs>
              <w:spacing w:line="360" w:lineRule="auto"/>
              <w:ind w:right="562"/>
              <w:jc w:val="center"/>
              <w:rPr>
                <w:color w:val="000000"/>
                <w:lang w:val="pt-BR"/>
              </w:rPr>
            </w:pPr>
            <w:r w:rsidRPr="00FA020F">
              <w:rPr>
                <w:color w:val="000000"/>
                <w:lang w:val="pt-BR"/>
              </w:rPr>
              <w:t>Br</w:t>
            </w:r>
          </w:p>
          <w:p w:rsidR="00634F62" w:rsidRPr="00FA020F" w:rsidRDefault="00634F62" w:rsidP="00634F62">
            <w:pPr>
              <w:tabs>
                <w:tab w:val="left" w:pos="2368"/>
              </w:tabs>
              <w:spacing w:line="360" w:lineRule="auto"/>
              <w:ind w:right="562"/>
              <w:jc w:val="center"/>
              <w:rPr>
                <w:color w:val="000000"/>
                <w:lang w:val="pt-BR"/>
              </w:rPr>
            </w:pPr>
            <w:r w:rsidRPr="00FA020F">
              <w:rPr>
                <w:color w:val="000000"/>
                <w:lang w:val="pt-BR"/>
              </w:rPr>
              <w:t>I</w:t>
            </w:r>
          </w:p>
          <w:p w:rsidR="00634F62" w:rsidRPr="00FA020F" w:rsidRDefault="00634F62" w:rsidP="00634F62">
            <w:pPr>
              <w:tabs>
                <w:tab w:val="left" w:pos="2368"/>
              </w:tabs>
              <w:spacing w:line="360" w:lineRule="auto"/>
              <w:ind w:right="562"/>
              <w:jc w:val="center"/>
              <w:rPr>
                <w:color w:val="000000"/>
                <w:lang w:val="pt-BR"/>
              </w:rPr>
            </w:pPr>
            <w:r w:rsidRPr="00FA020F">
              <w:rPr>
                <w:color w:val="000000"/>
                <w:lang w:val="pt-BR"/>
              </w:rPr>
              <w:t>CN</w:t>
            </w:r>
          </w:p>
          <w:p w:rsidR="00634F62" w:rsidRPr="00FA020F" w:rsidRDefault="00634F62" w:rsidP="00634F62">
            <w:pPr>
              <w:tabs>
                <w:tab w:val="left" w:pos="2368"/>
              </w:tabs>
              <w:spacing w:line="360" w:lineRule="auto"/>
              <w:ind w:right="562"/>
              <w:jc w:val="center"/>
              <w:rPr>
                <w:color w:val="000000"/>
                <w:vertAlign w:val="subscript"/>
                <w:lang w:val="pt-BR"/>
              </w:rPr>
            </w:pPr>
            <w:r w:rsidRPr="00FA020F">
              <w:rPr>
                <w:color w:val="000000"/>
                <w:lang w:val="pt-BR"/>
              </w:rPr>
              <w:t>NO</w:t>
            </w:r>
            <w:r>
              <w:rPr>
                <w:color w:val="000000"/>
                <w:vertAlign w:val="subscript"/>
                <w:lang w:val="pt-BR"/>
              </w:rPr>
              <w:t>2</w:t>
            </w:r>
          </w:p>
        </w:tc>
        <w:tc>
          <w:tcPr>
            <w:tcW w:w="2456" w:type="dxa"/>
          </w:tcPr>
          <w:p w:rsidR="00634F62" w:rsidRDefault="00634F62" w:rsidP="00634F62">
            <w:pPr>
              <w:spacing w:line="360" w:lineRule="auto"/>
              <w:ind w:right="562"/>
              <w:jc w:val="center"/>
              <w:rPr>
                <w:color w:val="000000"/>
                <w:lang w:val="pt-BR"/>
              </w:rPr>
            </w:pPr>
            <w:r>
              <w:rPr>
                <w:color w:val="000000"/>
                <w:lang w:val="pt-BR"/>
              </w:rPr>
              <w:t>3618</w:t>
            </w:r>
          </w:p>
          <w:p w:rsidR="00634F62" w:rsidRDefault="00634F62" w:rsidP="00634F62">
            <w:pPr>
              <w:spacing w:line="360" w:lineRule="auto"/>
              <w:ind w:right="562"/>
              <w:jc w:val="center"/>
              <w:rPr>
                <w:color w:val="000000"/>
                <w:lang w:val="pt-BR"/>
              </w:rPr>
            </w:pPr>
            <w:r>
              <w:rPr>
                <w:color w:val="000000"/>
                <w:lang w:val="pt-BR"/>
              </w:rPr>
              <w:t>3617</w:t>
            </w:r>
          </w:p>
          <w:p w:rsidR="00634F62" w:rsidRDefault="00634F62" w:rsidP="00634F62">
            <w:pPr>
              <w:spacing w:line="360" w:lineRule="auto"/>
              <w:ind w:right="562"/>
              <w:jc w:val="center"/>
              <w:rPr>
                <w:color w:val="000000"/>
                <w:lang w:val="pt-BR"/>
              </w:rPr>
            </w:pPr>
            <w:r>
              <w:rPr>
                <w:color w:val="000000"/>
                <w:lang w:val="pt-BR"/>
              </w:rPr>
              <w:t>3610,5</w:t>
            </w:r>
          </w:p>
          <w:p w:rsidR="00634F62" w:rsidRDefault="00634F62" w:rsidP="00634F62">
            <w:pPr>
              <w:spacing w:line="360" w:lineRule="auto"/>
              <w:ind w:right="562"/>
              <w:jc w:val="center"/>
              <w:rPr>
                <w:color w:val="000000"/>
                <w:lang w:val="pt-BR"/>
              </w:rPr>
            </w:pPr>
            <w:r>
              <w:rPr>
                <w:color w:val="000000"/>
                <w:lang w:val="pt-BR"/>
              </w:rPr>
              <w:t>3613,5</w:t>
            </w:r>
          </w:p>
          <w:p w:rsidR="00634F62" w:rsidRDefault="00634F62" w:rsidP="00634F62">
            <w:pPr>
              <w:spacing w:line="360" w:lineRule="auto"/>
              <w:ind w:right="562"/>
              <w:jc w:val="center"/>
              <w:rPr>
                <w:color w:val="000000"/>
                <w:lang w:val="pt-BR"/>
              </w:rPr>
            </w:pPr>
            <w:r>
              <w:rPr>
                <w:color w:val="000000"/>
                <w:lang w:val="pt-BR"/>
              </w:rPr>
              <w:t>3609</w:t>
            </w:r>
          </w:p>
          <w:p w:rsidR="00634F62" w:rsidRDefault="00634F62" w:rsidP="00634F62">
            <w:pPr>
              <w:spacing w:line="360" w:lineRule="auto"/>
              <w:ind w:right="562"/>
              <w:jc w:val="center"/>
              <w:rPr>
                <w:color w:val="000000"/>
                <w:lang w:val="pt-BR"/>
              </w:rPr>
            </w:pPr>
            <w:r>
              <w:rPr>
                <w:color w:val="000000"/>
                <w:lang w:val="pt-BR"/>
              </w:rPr>
              <w:t>3607</w:t>
            </w:r>
          </w:p>
          <w:p w:rsidR="00634F62" w:rsidRDefault="00634F62" w:rsidP="00634F62">
            <w:pPr>
              <w:spacing w:line="360" w:lineRule="auto"/>
              <w:ind w:right="562"/>
              <w:jc w:val="center"/>
              <w:rPr>
                <w:color w:val="000000"/>
                <w:lang w:val="pt-BR"/>
              </w:rPr>
            </w:pPr>
            <w:r>
              <w:rPr>
                <w:color w:val="000000"/>
                <w:lang w:val="pt-BR"/>
              </w:rPr>
              <w:t>3606</w:t>
            </w:r>
          </w:p>
          <w:p w:rsidR="00634F62" w:rsidRDefault="00634F62" w:rsidP="00634F62">
            <w:pPr>
              <w:spacing w:line="360" w:lineRule="auto"/>
              <w:ind w:right="562"/>
              <w:jc w:val="center"/>
              <w:rPr>
                <w:color w:val="000000"/>
                <w:lang w:val="pt-BR"/>
              </w:rPr>
            </w:pPr>
            <w:r>
              <w:rPr>
                <w:color w:val="000000"/>
                <w:lang w:val="pt-BR"/>
              </w:rPr>
              <w:t>3597,5</w:t>
            </w:r>
          </w:p>
          <w:p w:rsidR="00634F62" w:rsidRPr="00FA020F" w:rsidRDefault="00634F62" w:rsidP="00634F62">
            <w:pPr>
              <w:spacing w:line="360" w:lineRule="auto"/>
              <w:ind w:right="562"/>
              <w:jc w:val="center"/>
              <w:rPr>
                <w:color w:val="000000"/>
                <w:lang w:val="pt-BR"/>
              </w:rPr>
            </w:pPr>
            <w:r>
              <w:rPr>
                <w:color w:val="000000"/>
                <w:lang w:val="pt-BR"/>
              </w:rPr>
              <w:t>3593</w:t>
            </w:r>
          </w:p>
        </w:tc>
      </w:tr>
    </w:tbl>
    <w:p w:rsidR="00634F62" w:rsidRDefault="00634F62" w:rsidP="00634F62">
      <w:pPr>
        <w:spacing w:line="360" w:lineRule="auto"/>
        <w:ind w:right="562"/>
        <w:jc w:val="both"/>
        <w:rPr>
          <w:color w:val="000000"/>
        </w:rPr>
      </w:pPr>
      <w:r>
        <w:rPr>
          <w:color w:val="000000"/>
        </w:rPr>
        <w:t xml:space="preserve">                                                            </w:t>
      </w:r>
    </w:p>
    <w:p w:rsidR="00634F62" w:rsidRDefault="00634F62" w:rsidP="00634F62">
      <w:pPr>
        <w:spacing w:line="360" w:lineRule="auto"/>
        <w:ind w:right="562"/>
        <w:jc w:val="both"/>
        <w:rPr>
          <w:color w:val="000000"/>
        </w:rPr>
      </w:pPr>
    </w:p>
    <w:p w:rsidR="00634F62" w:rsidRDefault="00634F62" w:rsidP="00634F62">
      <w:pPr>
        <w:spacing w:line="360" w:lineRule="auto"/>
        <w:ind w:right="562"/>
        <w:jc w:val="both"/>
        <w:rPr>
          <w:color w:val="000000"/>
        </w:rPr>
      </w:pPr>
      <w:r>
        <w:rPr>
          <w:color w:val="000000"/>
        </w:rPr>
        <w:t xml:space="preserve">            </w:t>
      </w:r>
      <w:r>
        <w:object w:dxaOrig="1168" w:dyaOrig="2628">
          <v:shape id="_x0000_i1031" type="#_x0000_t75" style="width:48pt;height:109pt" o:ole="">
            <v:imagedata r:id="rId22" o:title=""/>
          </v:shape>
          <o:OLEObject Type="Embed" ProgID="ChemDraw.Document.4.5" ShapeID="_x0000_i1031" DrawAspect="Content" ObjectID="_1572675391" r:id="rId23"/>
        </w:object>
      </w:r>
    </w:p>
    <w:p w:rsidR="00634F62" w:rsidRDefault="00634F62" w:rsidP="00634F62">
      <w:pPr>
        <w:spacing w:line="360" w:lineRule="auto"/>
        <w:ind w:right="562"/>
        <w:jc w:val="both"/>
        <w:rPr>
          <w:color w:val="000000"/>
        </w:rPr>
      </w:pPr>
      <w:r>
        <w:rPr>
          <w:color w:val="000000"/>
        </w:rPr>
        <w:t xml:space="preserve">                                             </w:t>
      </w:r>
    </w:p>
    <w:p w:rsidR="00634F62" w:rsidRDefault="00634F62" w:rsidP="00634F62">
      <w:pPr>
        <w:spacing w:line="360" w:lineRule="auto"/>
        <w:ind w:right="562"/>
        <w:jc w:val="both"/>
        <w:rPr>
          <w:color w:val="000000"/>
        </w:rPr>
      </w:pPr>
    </w:p>
    <w:p w:rsidR="000B5985" w:rsidRDefault="000B5985" w:rsidP="00634F62">
      <w:pPr>
        <w:spacing w:line="360" w:lineRule="auto"/>
        <w:ind w:right="562"/>
        <w:jc w:val="both"/>
        <w:rPr>
          <w:color w:val="000000"/>
        </w:rPr>
      </w:pPr>
    </w:p>
    <w:p w:rsidR="000B5985" w:rsidRDefault="000B5985" w:rsidP="00634F62">
      <w:pPr>
        <w:spacing w:line="360" w:lineRule="auto"/>
        <w:ind w:right="562"/>
        <w:jc w:val="both"/>
        <w:rPr>
          <w:color w:val="000000"/>
        </w:rPr>
      </w:pPr>
    </w:p>
    <w:p w:rsidR="00634F62" w:rsidRPr="00634F62" w:rsidRDefault="00634F62" w:rsidP="00634F62">
      <w:pPr>
        <w:spacing w:line="360" w:lineRule="auto"/>
        <w:ind w:right="562"/>
        <w:jc w:val="both"/>
        <w:rPr>
          <w:color w:val="0000FF"/>
        </w:rPr>
      </w:pPr>
      <w:r>
        <w:rPr>
          <w:color w:val="000000"/>
        </w:rPr>
        <w:tab/>
        <w:t xml:space="preserve">Ces variations sont expliquées par l’influence électronique des </w:t>
      </w:r>
      <w:proofErr w:type="spellStart"/>
      <w:r>
        <w:rPr>
          <w:color w:val="000000"/>
        </w:rPr>
        <w:t>substituants</w:t>
      </w:r>
      <w:proofErr w:type="spellEnd"/>
      <w:r>
        <w:rPr>
          <w:color w:val="000000"/>
        </w:rPr>
        <w:t xml:space="preserve"> sur la constante de force du vibrateur OH.</w:t>
      </w:r>
    </w:p>
    <w:p w:rsidR="000B5985" w:rsidRDefault="000B5985" w:rsidP="00634F62">
      <w:pPr>
        <w:spacing w:line="360" w:lineRule="auto"/>
        <w:ind w:right="562"/>
        <w:jc w:val="both"/>
        <w:rPr>
          <w:b/>
          <w:bCs/>
          <w:color w:val="000000"/>
        </w:rPr>
      </w:pPr>
    </w:p>
    <w:p w:rsidR="00634F62" w:rsidRPr="00303114" w:rsidRDefault="00634F62" w:rsidP="00634F62">
      <w:pPr>
        <w:spacing w:line="360" w:lineRule="auto"/>
        <w:ind w:right="562"/>
        <w:jc w:val="both"/>
        <w:rPr>
          <w:b/>
          <w:bCs/>
          <w:color w:val="000000"/>
        </w:rPr>
      </w:pPr>
      <w:r>
        <w:rPr>
          <w:b/>
          <w:bCs/>
          <w:color w:val="000000"/>
        </w:rPr>
        <w:t>III – 2 – 1</w:t>
      </w:r>
      <w:r w:rsidRPr="00303114">
        <w:rPr>
          <w:b/>
          <w:bCs/>
          <w:color w:val="000000"/>
        </w:rPr>
        <w:t xml:space="preserve"> – 2 -  Liaison hydrogène</w:t>
      </w:r>
    </w:p>
    <w:p w:rsidR="00634F62" w:rsidRPr="005E781D" w:rsidRDefault="00634F62" w:rsidP="00634F62">
      <w:pPr>
        <w:ind w:right="562"/>
        <w:jc w:val="both"/>
        <w:rPr>
          <w:b/>
          <w:bCs/>
          <w:i/>
          <w:iCs/>
          <w:color w:val="000000"/>
        </w:rPr>
      </w:pPr>
    </w:p>
    <w:p w:rsidR="00634F62" w:rsidRDefault="00634F62" w:rsidP="00634F62">
      <w:pPr>
        <w:spacing w:line="360" w:lineRule="auto"/>
        <w:ind w:right="562"/>
        <w:jc w:val="both"/>
        <w:rPr>
          <w:color w:val="000000"/>
        </w:rPr>
      </w:pPr>
      <w:r>
        <w:rPr>
          <w:color w:val="000000"/>
        </w:rPr>
        <w:tab/>
        <w:t>Les</w:t>
      </w:r>
      <w:r w:rsidRPr="004B2855">
        <w:rPr>
          <w:color w:val="000000"/>
        </w:rPr>
        <w:t xml:space="preserve"> </w:t>
      </w:r>
      <w:r>
        <w:rPr>
          <w:color w:val="000000"/>
        </w:rPr>
        <w:t xml:space="preserve">liaisons hydrogènes apparaissent dans tout système contenant un groupe donneur de proton (X-H) et un groupe accepteur de proton (Y), si l’orbitale </w:t>
      </w:r>
      <w:r w:rsidRPr="009750BA">
        <w:rPr>
          <w:i/>
          <w:iCs/>
          <w:color w:val="000000"/>
        </w:rPr>
        <w:t>s</w:t>
      </w:r>
      <w:r>
        <w:rPr>
          <w:i/>
          <w:iCs/>
          <w:color w:val="000000"/>
        </w:rPr>
        <w:t xml:space="preserve"> </w:t>
      </w:r>
      <w:r>
        <w:rPr>
          <w:color w:val="000000"/>
        </w:rPr>
        <w:t xml:space="preserve">du proton peut effectivement recouvrir l’orbitale </w:t>
      </w:r>
      <w:r w:rsidRPr="009750BA">
        <w:rPr>
          <w:i/>
          <w:iCs/>
          <w:color w:val="000000"/>
        </w:rPr>
        <w:t>p</w:t>
      </w:r>
      <w:r>
        <w:rPr>
          <w:color w:val="000000"/>
        </w:rPr>
        <w:t xml:space="preserve"> ou </w:t>
      </w:r>
      <w:r>
        <w:rPr>
          <w:color w:val="000000"/>
        </w:rPr>
        <w:sym w:font="Symbol" w:char="F070"/>
      </w:r>
      <w:r>
        <w:rPr>
          <w:color w:val="000000"/>
        </w:rPr>
        <w:t xml:space="preserve"> du groupe accepteur. La force de la liaison décroît quand la distance entre X et Y s’accroît.</w:t>
      </w:r>
    </w:p>
    <w:p w:rsidR="00634F62" w:rsidRDefault="00634F62" w:rsidP="00634F62">
      <w:pPr>
        <w:spacing w:line="360" w:lineRule="auto"/>
        <w:ind w:right="562"/>
        <w:jc w:val="both"/>
        <w:rPr>
          <w:color w:val="000000"/>
        </w:rPr>
      </w:pPr>
      <w:r>
        <w:rPr>
          <w:color w:val="000000"/>
        </w:rPr>
        <w:tab/>
        <w:t>Les liaisons hydrogène modifient la constante de force des deux groupes ; ainsi, les fréquences des vibrations d’élongation et de déformation angulaire sont modifiées. Les bandes d’élongation X</w:t>
      </w:r>
      <w:r>
        <w:rPr>
          <w:color w:val="000000"/>
        </w:rPr>
        <w:sym w:font="Symbol" w:char="F0BE"/>
      </w:r>
      <w:r>
        <w:rPr>
          <w:color w:val="000000"/>
        </w:rPr>
        <w:t>H se déplacent vers des fréquences plus basses et s’accompagnent généralement d’un accroissement d’intensité et d’un élargissement de la bande. La fréquence d’élongation du groupe accepteur, par exemple C=O, est également réduite mais dans une moindre mesure par rapport à celle du groupe donneur de proton.</w:t>
      </w:r>
    </w:p>
    <w:p w:rsidR="00634F62" w:rsidRPr="005A4F20" w:rsidRDefault="00634F62" w:rsidP="00634F62">
      <w:pPr>
        <w:spacing w:line="360" w:lineRule="auto"/>
        <w:ind w:right="562"/>
        <w:jc w:val="both"/>
      </w:pPr>
      <w:r w:rsidRPr="005A4F20">
        <w:t xml:space="preserve">La tension du cycle, la géométrie moléculaire ainsi que l’acidité et la basicité relative des groupes accepteurs et donneurs de proton affectent la force de liaison. Un pont hydrogène impliquant des groupes identiques est plus fort lors de la formation d’un cycle à six chaînons plutôt que dans la formation d’un cycle plus petit. Il est également </w:t>
      </w:r>
      <w:r w:rsidRPr="005A4F20">
        <w:lastRenderedPageBreak/>
        <w:t>plus fort quand la structure liée se stabilise par résonance. Comme on peut le voir dans le cas de ß-dicétones</w:t>
      </w:r>
      <w:r>
        <w:t xml:space="preserve"> schématisé ci-dessous </w:t>
      </w:r>
      <w:proofErr w:type="gramStart"/>
      <w:r>
        <w:t>:</w:t>
      </w:r>
      <w:r w:rsidRPr="005A4F20">
        <w:t>.</w:t>
      </w:r>
      <w:proofErr w:type="gramEnd"/>
    </w:p>
    <w:p w:rsidR="00634F62" w:rsidRDefault="00634F62" w:rsidP="00634F62">
      <w:pPr>
        <w:spacing w:line="360" w:lineRule="auto"/>
        <w:ind w:right="562"/>
        <w:jc w:val="center"/>
      </w:pPr>
      <w:r>
        <w:rPr>
          <w:noProof/>
        </w:rPr>
        <w:drawing>
          <wp:inline distT="0" distB="0" distL="0" distR="0">
            <wp:extent cx="942975" cy="1219200"/>
            <wp:effectExtent l="19050" t="0" r="9525" b="0"/>
            <wp:docPr id="34" name="Image 10" descr="http://www.uel.education.fr/consultation/reference/chimie/spectro/infra_rouge/images/ir_2/ir_2_10b.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www.uel.education.fr/consultation/reference/chimie/spectro/infra_rouge/images/ir_2/ir_2_10b.gif"/>
                    <pic:cNvPicPr>
                      <a:picLocks noChangeAspect="1" noChangeArrowheads="1"/>
                    </pic:cNvPicPr>
                  </pic:nvPicPr>
                  <pic:blipFill>
                    <a:blip r:embed="rId24" r:link="rId25" cstate="print"/>
                    <a:srcRect/>
                    <a:stretch>
                      <a:fillRect/>
                    </a:stretch>
                  </pic:blipFill>
                  <pic:spPr bwMode="auto">
                    <a:xfrm>
                      <a:off x="0" y="0"/>
                      <a:ext cx="942975" cy="1219200"/>
                    </a:xfrm>
                    <a:prstGeom prst="rect">
                      <a:avLst/>
                    </a:prstGeom>
                    <a:noFill/>
                    <a:ln w="9525">
                      <a:noFill/>
                      <a:miter lim="800000"/>
                      <a:headEnd/>
                      <a:tailEnd/>
                    </a:ln>
                  </pic:spPr>
                </pic:pic>
              </a:graphicData>
            </a:graphic>
          </wp:inline>
        </w:drawing>
      </w:r>
    </w:p>
    <w:p w:rsidR="000B5985" w:rsidRDefault="00634F62" w:rsidP="000B5985">
      <w:pPr>
        <w:spacing w:line="360" w:lineRule="auto"/>
        <w:ind w:right="562"/>
        <w:jc w:val="center"/>
        <w:rPr>
          <w:rStyle w:val="lev"/>
        </w:rPr>
      </w:pPr>
      <w:r>
        <w:rPr>
          <w:rStyle w:val="lev"/>
        </w:rPr>
        <w:t>Liaison hydrogène</w:t>
      </w:r>
      <w:r w:rsidRPr="001D293C">
        <w:rPr>
          <w:rStyle w:val="lev"/>
        </w:rPr>
        <w:t xml:space="preserve"> </w:t>
      </w:r>
      <w:proofErr w:type="spellStart"/>
      <w:r w:rsidRPr="001D293C">
        <w:rPr>
          <w:rStyle w:val="lev"/>
        </w:rPr>
        <w:t>intra-moléculaire</w:t>
      </w:r>
      <w:proofErr w:type="spellEnd"/>
    </w:p>
    <w:p w:rsidR="00634F62" w:rsidRPr="000B5985" w:rsidRDefault="00634F62" w:rsidP="000B5985">
      <w:pPr>
        <w:spacing w:line="360" w:lineRule="auto"/>
        <w:ind w:right="562"/>
        <w:jc w:val="center"/>
      </w:pPr>
      <w:r>
        <w:t> </w:t>
      </w:r>
    </w:p>
    <w:p w:rsidR="00634F62" w:rsidRDefault="00634F62" w:rsidP="00634F62">
      <w:pPr>
        <w:spacing w:line="360" w:lineRule="auto"/>
        <w:ind w:right="562"/>
        <w:jc w:val="both"/>
        <w:rPr>
          <w:color w:val="000000"/>
        </w:rPr>
      </w:pPr>
      <w:r>
        <w:rPr>
          <w:color w:val="000000"/>
        </w:rPr>
        <w:tab/>
        <w:t>La vibration de déformation angulaire H</w:t>
      </w:r>
      <w:r>
        <w:rPr>
          <w:color w:val="000000"/>
        </w:rPr>
        <w:sym w:font="Symbol" w:char="F0BE"/>
      </w:r>
      <w:r>
        <w:rPr>
          <w:color w:val="000000"/>
        </w:rPr>
        <w:t>X se déplace habituellement vers des fréquences plus élevées en cas de pont hydrogène ; ce déplacement est moins prononcé que celui des fréquences d’élongation.</w:t>
      </w:r>
    </w:p>
    <w:p w:rsidR="00634F62" w:rsidRDefault="00634F62" w:rsidP="00634F62">
      <w:pPr>
        <w:spacing w:line="360" w:lineRule="auto"/>
        <w:ind w:right="562"/>
        <w:jc w:val="both"/>
        <w:rPr>
          <w:color w:val="000000"/>
        </w:rPr>
      </w:pPr>
      <w:r>
        <w:rPr>
          <w:color w:val="000000"/>
        </w:rPr>
        <w:tab/>
        <w:t xml:space="preserve">Les liaisons hydrogène </w:t>
      </w:r>
      <w:r>
        <w:rPr>
          <w:i/>
          <w:iCs/>
          <w:color w:val="000000"/>
        </w:rPr>
        <w:t>intra</w:t>
      </w:r>
      <w:r>
        <w:rPr>
          <w:color w:val="000000"/>
        </w:rPr>
        <w:t>moléculaires se forment quand le donneur et l’accepteur de proton sont présents dans une même molécule ayant une configuration spatiale permettant le recouvrement des orbitales, par exemple, la formation de cycles à cinq ou six chaînons. L’association intramoléculaire par liaison hydrogène ou chélation est responsable de variations des fréquences de groupe. En effet, si on dissout par exemple de l’ortho-</w:t>
      </w:r>
      <w:proofErr w:type="spellStart"/>
      <w:r>
        <w:rPr>
          <w:color w:val="000000"/>
        </w:rPr>
        <w:t>chloro</w:t>
      </w:r>
      <w:proofErr w:type="spellEnd"/>
      <w:r>
        <w:rPr>
          <w:color w:val="000000"/>
        </w:rPr>
        <w:t>-phénol dans CCl</w:t>
      </w:r>
      <w:r>
        <w:rPr>
          <w:color w:val="000000"/>
          <w:vertAlign w:val="subscript"/>
        </w:rPr>
        <w:t>4</w:t>
      </w:r>
      <w:r>
        <w:rPr>
          <w:color w:val="000000"/>
        </w:rPr>
        <w:t>, on observe en IR deux bandes situées à 3609 et 3550 cm</w:t>
      </w:r>
      <w:r>
        <w:rPr>
          <w:color w:val="000000"/>
          <w:vertAlign w:val="superscript"/>
        </w:rPr>
        <w:t>-1</w:t>
      </w:r>
      <w:r>
        <w:rPr>
          <w:color w:val="000000"/>
        </w:rPr>
        <w:t xml:space="preserve"> correspondant à la vibration </w:t>
      </w:r>
      <w:r>
        <w:rPr>
          <w:color w:val="000000"/>
        </w:rPr>
        <w:sym w:font="Symbol" w:char="F06E"/>
      </w:r>
      <w:r>
        <w:rPr>
          <w:color w:val="000000"/>
        </w:rPr>
        <w:t xml:space="preserve">(OH)  respectivement pour les formes libre et </w:t>
      </w:r>
      <w:proofErr w:type="spellStart"/>
      <w:r>
        <w:rPr>
          <w:color w:val="000000"/>
        </w:rPr>
        <w:t>chelatée</w:t>
      </w:r>
      <w:proofErr w:type="spellEnd"/>
      <w:r>
        <w:rPr>
          <w:color w:val="000000"/>
        </w:rPr>
        <w:t xml:space="preserve"> de la molécule.</w:t>
      </w:r>
    </w:p>
    <w:p w:rsidR="00634F62" w:rsidRPr="004B2855" w:rsidRDefault="00634F62" w:rsidP="00634F62">
      <w:pPr>
        <w:spacing w:line="360" w:lineRule="auto"/>
        <w:ind w:right="562"/>
        <w:jc w:val="both"/>
        <w:rPr>
          <w:color w:val="000000"/>
        </w:rPr>
      </w:pPr>
      <w:r>
        <w:rPr>
          <w:color w:val="000000"/>
        </w:rPr>
        <w:tab/>
        <w:t xml:space="preserve">La dilution ne permet pas de faire disparaître la bande </w:t>
      </w:r>
      <w:proofErr w:type="spellStart"/>
      <w:r>
        <w:rPr>
          <w:color w:val="000000"/>
        </w:rPr>
        <w:t>chelatée</w:t>
      </w:r>
      <w:proofErr w:type="spellEnd"/>
      <w:r>
        <w:rPr>
          <w:color w:val="000000"/>
        </w:rPr>
        <w:t xml:space="preserve"> alors que les bandes provenant de l’</w:t>
      </w:r>
      <w:proofErr w:type="spellStart"/>
      <w:r>
        <w:rPr>
          <w:color w:val="000000"/>
        </w:rPr>
        <w:t>autoassociation</w:t>
      </w:r>
      <w:proofErr w:type="spellEnd"/>
      <w:r>
        <w:rPr>
          <w:color w:val="000000"/>
        </w:rPr>
        <w:t xml:space="preserve"> intermoléculaire y sont très sensibles. Cette méthode permet donc de distinguer les associations inter ou intramoléculaires par spectroscopie IR.</w:t>
      </w:r>
    </w:p>
    <w:p w:rsidR="00634F62" w:rsidRPr="00AD04B6" w:rsidRDefault="00634F62" w:rsidP="00634F62">
      <w:pPr>
        <w:spacing w:line="360" w:lineRule="auto"/>
        <w:ind w:right="562"/>
        <w:jc w:val="both"/>
        <w:rPr>
          <w:color w:val="000000"/>
        </w:rPr>
      </w:pPr>
      <w:r>
        <w:rPr>
          <w:color w:val="000000"/>
        </w:rPr>
        <w:tab/>
        <w:t xml:space="preserve">Les liaisons hydrogène </w:t>
      </w:r>
      <w:r>
        <w:rPr>
          <w:i/>
          <w:iCs/>
          <w:color w:val="000000"/>
        </w:rPr>
        <w:t>inter</w:t>
      </w:r>
      <w:r>
        <w:rPr>
          <w:color w:val="000000"/>
        </w:rPr>
        <w:t xml:space="preserve">moléculaires impliquent l’association de deux ou de plusieurs molécules de composés identiques ou différents. Les liaisons intermoléculaires peuvent former les dimères (comme pour les acides carboxyliques) ou des chaînes moléculaires polymériques, qui existent dans des échantillons purs ou des solutions concentrées d’alcools </w:t>
      </w:r>
      <w:proofErr w:type="spellStart"/>
      <w:r>
        <w:rPr>
          <w:color w:val="000000"/>
        </w:rPr>
        <w:t>monohydroxylés</w:t>
      </w:r>
      <w:proofErr w:type="spellEnd"/>
      <w:r>
        <w:rPr>
          <w:color w:val="000000"/>
        </w:rPr>
        <w:t xml:space="preserve">. </w:t>
      </w:r>
    </w:p>
    <w:p w:rsidR="00634F62" w:rsidRDefault="00634F62" w:rsidP="00634F62">
      <w:pPr>
        <w:spacing w:line="360" w:lineRule="auto"/>
        <w:ind w:right="562"/>
        <w:jc w:val="both"/>
        <w:rPr>
          <w:color w:val="000000"/>
        </w:rPr>
      </w:pPr>
      <w:r>
        <w:rPr>
          <w:color w:val="000000"/>
        </w:rPr>
        <w:t>Remarque : Il peut exister une interaction entre les groupes fonctionnels du solvant et du soluté. Si le soluté est polaire, il faut indiquer le solvant utilisé et la concentration du soluté. Comme on peut le voir sur le schéma suivant :</w:t>
      </w:r>
    </w:p>
    <w:p w:rsidR="00634F62" w:rsidRDefault="00634F62" w:rsidP="00634F62">
      <w:pPr>
        <w:spacing w:line="360" w:lineRule="auto"/>
        <w:ind w:right="562"/>
        <w:jc w:val="center"/>
        <w:rPr>
          <w:color w:val="000000"/>
        </w:rPr>
      </w:pPr>
      <w:r>
        <w:rPr>
          <w:noProof/>
        </w:rPr>
        <w:lastRenderedPageBreak/>
        <w:drawing>
          <wp:inline distT="0" distB="0" distL="0" distR="0">
            <wp:extent cx="1514475" cy="685800"/>
            <wp:effectExtent l="19050" t="0" r="9525" b="0"/>
            <wp:docPr id="35" name="Image 11" descr="http://www.uel.education.fr/consultation/reference/chimie/spectro/infra_rouge/images/ir_2/ir_2_10a.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www.uel.education.fr/consultation/reference/chimie/spectro/infra_rouge/images/ir_2/ir_2_10a.gif"/>
                    <pic:cNvPicPr>
                      <a:picLocks noChangeAspect="1" noChangeArrowheads="1"/>
                    </pic:cNvPicPr>
                  </pic:nvPicPr>
                  <pic:blipFill>
                    <a:blip r:embed="rId26" r:link="rId27" cstate="print"/>
                    <a:srcRect/>
                    <a:stretch>
                      <a:fillRect/>
                    </a:stretch>
                  </pic:blipFill>
                  <pic:spPr bwMode="auto">
                    <a:xfrm>
                      <a:off x="0" y="0"/>
                      <a:ext cx="1514475" cy="685800"/>
                    </a:xfrm>
                    <a:prstGeom prst="rect">
                      <a:avLst/>
                    </a:prstGeom>
                    <a:noFill/>
                    <a:ln w="9525">
                      <a:noFill/>
                      <a:miter lim="800000"/>
                      <a:headEnd/>
                      <a:tailEnd/>
                    </a:ln>
                  </pic:spPr>
                </pic:pic>
              </a:graphicData>
            </a:graphic>
          </wp:inline>
        </w:drawing>
      </w:r>
    </w:p>
    <w:p w:rsidR="00634F62" w:rsidRDefault="00634F62" w:rsidP="00634F62">
      <w:pPr>
        <w:tabs>
          <w:tab w:val="left" w:pos="9000"/>
        </w:tabs>
        <w:ind w:right="562"/>
        <w:jc w:val="center"/>
      </w:pPr>
      <w:r w:rsidRPr="001D293C">
        <w:rPr>
          <w:rStyle w:val="lev"/>
        </w:rPr>
        <w:t xml:space="preserve">Liaisons hydrogènes </w:t>
      </w:r>
      <w:proofErr w:type="spellStart"/>
      <w:r w:rsidRPr="001D293C">
        <w:rPr>
          <w:rStyle w:val="lev"/>
        </w:rPr>
        <w:t>inter-moléculaires</w:t>
      </w:r>
      <w:proofErr w:type="spellEnd"/>
      <w:r>
        <w:t xml:space="preserve"> </w:t>
      </w:r>
      <w:r w:rsidRPr="001D293C">
        <w:t>(dé</w:t>
      </w:r>
      <w:r>
        <w:t>tectable par effet de solvant)</w:t>
      </w:r>
    </w:p>
    <w:p w:rsidR="00634F62" w:rsidRDefault="00634F62" w:rsidP="00634F62">
      <w:pPr>
        <w:tabs>
          <w:tab w:val="left" w:pos="9000"/>
        </w:tabs>
        <w:ind w:right="562"/>
      </w:pPr>
      <w:r>
        <w:br/>
        <w:t>C</w:t>
      </w:r>
      <w:r w:rsidRPr="001D293C">
        <w:t>ette liaison peut s'éta</w:t>
      </w:r>
      <w:r>
        <w:t xml:space="preserve">blir avec un solvant hydroxylé </w:t>
      </w:r>
      <w:r w:rsidRPr="001D293C">
        <w:t>tel que le méthanol</w:t>
      </w:r>
      <w:r>
        <w:t>.</w:t>
      </w:r>
    </w:p>
    <w:p w:rsidR="00634F62" w:rsidRPr="00613418" w:rsidRDefault="00634F62" w:rsidP="00634F62">
      <w:pPr>
        <w:tabs>
          <w:tab w:val="left" w:pos="9000"/>
        </w:tabs>
        <w:ind w:right="562"/>
        <w:rPr>
          <w:color w:val="000000"/>
        </w:rPr>
      </w:pPr>
    </w:p>
    <w:p w:rsidR="00634F62" w:rsidRPr="001D76A2" w:rsidRDefault="00634F62" w:rsidP="00387815">
      <w:pPr>
        <w:spacing w:line="360" w:lineRule="auto"/>
        <w:ind w:right="562"/>
        <w:jc w:val="both"/>
        <w:rPr>
          <w:b/>
          <w:bCs/>
        </w:rPr>
      </w:pPr>
      <w:r>
        <w:rPr>
          <w:b/>
          <w:bCs/>
        </w:rPr>
        <w:t>III – 2 – 1 – 3 -</w:t>
      </w:r>
      <w:r w:rsidRPr="001D76A2">
        <w:rPr>
          <w:b/>
          <w:bCs/>
        </w:rPr>
        <w:t xml:space="preserve"> Gêne stérique</w:t>
      </w:r>
      <w:r>
        <w:rPr>
          <w:b/>
          <w:bCs/>
        </w:rPr>
        <w:t xml:space="preserve"> et tension stérique</w:t>
      </w:r>
    </w:p>
    <w:p w:rsidR="00634F62" w:rsidRPr="00FD4009" w:rsidRDefault="00634F62" w:rsidP="00634F62">
      <w:pPr>
        <w:numPr>
          <w:ilvl w:val="0"/>
          <w:numId w:val="20"/>
        </w:numPr>
        <w:spacing w:line="360" w:lineRule="auto"/>
        <w:ind w:right="538"/>
        <w:jc w:val="both"/>
        <w:rPr>
          <w:b/>
          <w:bCs/>
        </w:rPr>
      </w:pPr>
      <w:r w:rsidRPr="001D76A2">
        <w:rPr>
          <w:b/>
          <w:bCs/>
        </w:rPr>
        <w:t>Gêne stérique</w:t>
      </w:r>
      <w:r>
        <w:rPr>
          <w:b/>
          <w:bCs/>
        </w:rPr>
        <w:t xml:space="preserve"> </w:t>
      </w:r>
    </w:p>
    <w:p w:rsidR="00634F62" w:rsidRDefault="00634F62" w:rsidP="00634F62">
      <w:pPr>
        <w:autoSpaceDE w:val="0"/>
        <w:autoSpaceDN w:val="0"/>
        <w:adjustRightInd w:val="0"/>
        <w:spacing w:line="360" w:lineRule="auto"/>
        <w:ind w:right="538"/>
        <w:jc w:val="both"/>
      </w:pPr>
      <w:r>
        <w:rPr>
          <w:color w:val="000000"/>
        </w:rPr>
        <w:tab/>
      </w:r>
      <w:r>
        <w:t xml:space="preserve">Les effets stériques sont liés à la géométrie de la molécule. Ce sont des effets qui traduisent une gêne volumique causée par un ou des </w:t>
      </w:r>
      <w:proofErr w:type="spellStart"/>
      <w:r>
        <w:t>substituants</w:t>
      </w:r>
      <w:proofErr w:type="spellEnd"/>
      <w:r>
        <w:t xml:space="preserve"> encombrants ou des contraintes angulaires. D'une façon générale les effets stériques ont une influence beaucoup moins marquée que les effets électroniques, classés dans l'ordre d'importance décroissante suivant : effet mésomère &gt; inductif &gt; liaison H.</w:t>
      </w:r>
      <w:r w:rsidRPr="00A25573">
        <w:t xml:space="preserve"> </w:t>
      </w:r>
    </w:p>
    <w:p w:rsidR="00634F62" w:rsidRDefault="00634F62" w:rsidP="00634F62">
      <w:pPr>
        <w:autoSpaceDE w:val="0"/>
        <w:autoSpaceDN w:val="0"/>
        <w:adjustRightInd w:val="0"/>
        <w:spacing w:line="360" w:lineRule="auto"/>
        <w:ind w:right="538"/>
        <w:jc w:val="both"/>
      </w:pPr>
      <w:r>
        <w:t xml:space="preserve">Les valeurs des angles et des longueurs des liaisons font que l'espace disponible autour d'un atome est limité. </w:t>
      </w:r>
    </w:p>
    <w:p w:rsidR="00634F62" w:rsidRDefault="00634F62" w:rsidP="00634F62">
      <w:pPr>
        <w:autoSpaceDE w:val="0"/>
        <w:autoSpaceDN w:val="0"/>
        <w:adjustRightInd w:val="0"/>
        <w:ind w:right="538"/>
        <w:jc w:val="both"/>
      </w:pPr>
    </w:p>
    <w:p w:rsidR="00634F62" w:rsidRDefault="00634F62" w:rsidP="00634F62">
      <w:pPr>
        <w:autoSpaceDE w:val="0"/>
        <w:autoSpaceDN w:val="0"/>
        <w:adjustRightInd w:val="0"/>
        <w:spacing w:line="360" w:lineRule="auto"/>
        <w:ind w:right="538"/>
        <w:jc w:val="both"/>
      </w:pPr>
      <w:r>
        <w:t>Exemple 1:</w:t>
      </w:r>
    </w:p>
    <w:p w:rsidR="00634F62" w:rsidRDefault="00634F62" w:rsidP="00634F62">
      <w:pPr>
        <w:spacing w:line="360" w:lineRule="auto"/>
        <w:ind w:right="538"/>
        <w:jc w:val="both"/>
        <w:rPr>
          <w:color w:val="000000"/>
        </w:rPr>
      </w:pPr>
      <w:r>
        <w:rPr>
          <w:color w:val="000000"/>
        </w:rPr>
        <w:tab/>
        <w:t xml:space="preserve">La comparaison des fréquences </w:t>
      </w:r>
      <w:r>
        <w:rPr>
          <w:color w:val="000000"/>
        </w:rPr>
        <w:sym w:font="Symbol" w:char="F06E"/>
      </w:r>
      <w:r>
        <w:rPr>
          <w:color w:val="000000"/>
        </w:rPr>
        <w:t>(C=O) de l’acétone CH</w:t>
      </w:r>
      <w:r>
        <w:rPr>
          <w:color w:val="000000"/>
          <w:vertAlign w:val="subscript"/>
        </w:rPr>
        <w:t>3</w:t>
      </w:r>
      <w:r>
        <w:rPr>
          <w:color w:val="000000"/>
        </w:rPr>
        <w:t>COCH</w:t>
      </w:r>
      <w:r>
        <w:rPr>
          <w:color w:val="000000"/>
          <w:vertAlign w:val="subscript"/>
        </w:rPr>
        <w:t xml:space="preserve">3 </w:t>
      </w:r>
      <w:r>
        <w:rPr>
          <w:color w:val="000000"/>
        </w:rPr>
        <w:t xml:space="preserve">et de la 3,3- </w:t>
      </w:r>
      <w:proofErr w:type="spellStart"/>
      <w:r>
        <w:rPr>
          <w:color w:val="000000"/>
        </w:rPr>
        <w:t>diméthyl</w:t>
      </w:r>
      <w:proofErr w:type="spellEnd"/>
      <w:r>
        <w:rPr>
          <w:color w:val="000000"/>
        </w:rPr>
        <w:t xml:space="preserve"> 2-</w:t>
      </w:r>
      <w:proofErr w:type="spellStart"/>
      <w:r>
        <w:rPr>
          <w:color w:val="000000"/>
        </w:rPr>
        <w:t>butanone</w:t>
      </w:r>
      <w:proofErr w:type="spellEnd"/>
      <w:r>
        <w:rPr>
          <w:color w:val="000000"/>
        </w:rPr>
        <w:t>, respectivement à 1718 et 1710 cm</w:t>
      </w:r>
      <w:r>
        <w:rPr>
          <w:color w:val="000000"/>
          <w:vertAlign w:val="superscript"/>
        </w:rPr>
        <w:t>-1</w:t>
      </w:r>
      <w:r>
        <w:rPr>
          <w:color w:val="000000"/>
        </w:rPr>
        <w:t xml:space="preserve"> dans le tétrachlorure de carbone rend compte de l’effet électronique des groupements CH</w:t>
      </w:r>
      <w:r>
        <w:rPr>
          <w:color w:val="000000"/>
          <w:vertAlign w:val="subscript"/>
        </w:rPr>
        <w:t xml:space="preserve">3. </w:t>
      </w:r>
      <w:r>
        <w:rPr>
          <w:color w:val="000000"/>
        </w:rPr>
        <w:t>Dans le cas de la molécule (CH</w:t>
      </w:r>
      <w:r>
        <w:rPr>
          <w:color w:val="000000"/>
          <w:vertAlign w:val="subscript"/>
        </w:rPr>
        <w:t>3</w:t>
      </w:r>
      <w:r>
        <w:rPr>
          <w:color w:val="000000"/>
        </w:rPr>
        <w:t>)</w:t>
      </w:r>
      <w:r>
        <w:rPr>
          <w:color w:val="000000"/>
          <w:vertAlign w:val="subscript"/>
        </w:rPr>
        <w:t>3</w:t>
      </w:r>
      <w:r>
        <w:rPr>
          <w:color w:val="000000"/>
        </w:rPr>
        <w:t>CCOC(CH</w:t>
      </w:r>
      <w:r>
        <w:rPr>
          <w:color w:val="000000"/>
          <w:vertAlign w:val="subscript"/>
        </w:rPr>
        <w:t>3</w:t>
      </w:r>
      <w:r>
        <w:rPr>
          <w:color w:val="000000"/>
        </w:rPr>
        <w:t>)</w:t>
      </w:r>
      <w:r>
        <w:rPr>
          <w:color w:val="000000"/>
          <w:vertAlign w:val="subscript"/>
        </w:rPr>
        <w:t>3</w:t>
      </w:r>
      <w:r>
        <w:rPr>
          <w:color w:val="000000"/>
        </w:rPr>
        <w:t>, la fréquence est située à 1687 cm</w:t>
      </w:r>
      <w:r>
        <w:rPr>
          <w:color w:val="000000"/>
          <w:vertAlign w:val="superscript"/>
        </w:rPr>
        <w:t>-1</w:t>
      </w:r>
      <w:r>
        <w:rPr>
          <w:color w:val="000000"/>
        </w:rPr>
        <w:t xml:space="preserve">, soit très inférieure à celle que l’on attendrait si </w:t>
      </w:r>
      <w:r w:rsidRPr="00516FB0">
        <w:t xml:space="preserve">l’effet électronique </w:t>
      </w:r>
      <w:r>
        <w:rPr>
          <w:color w:val="000000"/>
        </w:rPr>
        <w:t>existait seul. Ceci peut être interprété par un effet d’encombrement des six groupements méthyles qui forment une cage autour du groupement C=O.</w:t>
      </w:r>
    </w:p>
    <w:p w:rsidR="00634F62" w:rsidRDefault="00387815" w:rsidP="00634F62">
      <w:pPr>
        <w:spacing w:line="360" w:lineRule="auto"/>
        <w:ind w:right="538"/>
        <w:jc w:val="center"/>
      </w:pPr>
      <w:r>
        <w:object w:dxaOrig="8524" w:dyaOrig="1920">
          <v:shape id="_x0000_i1032" type="#_x0000_t75" style="width:398pt;height:79pt" o:ole="">
            <v:imagedata r:id="rId28" o:title=""/>
          </v:shape>
          <o:OLEObject Type="Embed" ProgID="ChemDraw.Document.4.5" ShapeID="_x0000_i1032" DrawAspect="Content" ObjectID="_1572675392" r:id="rId29"/>
        </w:object>
      </w:r>
    </w:p>
    <w:p w:rsidR="00634F62" w:rsidRDefault="00634F62" w:rsidP="00634F62">
      <w:pPr>
        <w:spacing w:line="360" w:lineRule="auto"/>
        <w:ind w:right="538"/>
        <w:jc w:val="both"/>
        <w:rPr>
          <w:color w:val="000000"/>
          <w:vertAlign w:val="superscript"/>
        </w:rPr>
      </w:pPr>
      <w:r>
        <w:rPr>
          <w:color w:val="000000"/>
        </w:rPr>
        <w:t xml:space="preserve">       1718 cm</w:t>
      </w:r>
      <w:r>
        <w:rPr>
          <w:color w:val="000000"/>
          <w:vertAlign w:val="superscript"/>
        </w:rPr>
        <w:t>-1</w:t>
      </w:r>
      <w:r>
        <w:rPr>
          <w:color w:val="000000"/>
          <w:vertAlign w:val="subscript"/>
        </w:rPr>
        <w:t xml:space="preserve"> </w:t>
      </w:r>
      <w:r>
        <w:rPr>
          <w:color w:val="000000"/>
        </w:rPr>
        <w:t xml:space="preserve">                          1710 cm</w:t>
      </w:r>
      <w:r>
        <w:rPr>
          <w:color w:val="000000"/>
          <w:vertAlign w:val="superscript"/>
        </w:rPr>
        <w:t xml:space="preserve">-1                                                                  </w:t>
      </w:r>
      <w:r>
        <w:rPr>
          <w:color w:val="000000"/>
        </w:rPr>
        <w:t>1687 cm</w:t>
      </w:r>
      <w:r>
        <w:rPr>
          <w:color w:val="000000"/>
          <w:vertAlign w:val="superscript"/>
        </w:rPr>
        <w:t>-1</w:t>
      </w:r>
    </w:p>
    <w:p w:rsidR="00634F62" w:rsidRPr="00865376" w:rsidRDefault="00634F62" w:rsidP="00634F62">
      <w:pPr>
        <w:ind w:right="538"/>
        <w:jc w:val="both"/>
        <w:rPr>
          <w:color w:val="000000"/>
          <w:vertAlign w:val="subscript"/>
        </w:rPr>
      </w:pPr>
    </w:p>
    <w:p w:rsidR="00634F62" w:rsidRDefault="00634F62" w:rsidP="00634F62">
      <w:pPr>
        <w:spacing w:line="360" w:lineRule="auto"/>
        <w:ind w:right="538"/>
        <w:jc w:val="both"/>
        <w:rPr>
          <w:color w:val="000000"/>
        </w:rPr>
      </w:pPr>
      <w:r>
        <w:rPr>
          <w:color w:val="000000"/>
        </w:rPr>
        <w:t>Exemple 2 :</w:t>
      </w:r>
    </w:p>
    <w:p w:rsidR="00634F62" w:rsidRDefault="00634F62" w:rsidP="00387815">
      <w:pPr>
        <w:autoSpaceDE w:val="0"/>
        <w:autoSpaceDN w:val="0"/>
        <w:adjustRightInd w:val="0"/>
        <w:spacing w:line="360" w:lineRule="auto"/>
        <w:ind w:right="538"/>
        <w:jc w:val="both"/>
      </w:pPr>
      <w:r w:rsidRPr="00516FB0">
        <w:t xml:space="preserve"> </w:t>
      </w:r>
      <w:r>
        <w:tab/>
        <w:t xml:space="preserve">Si les </w:t>
      </w:r>
      <w:proofErr w:type="spellStart"/>
      <w:r>
        <w:t>substituants</w:t>
      </w:r>
      <w:proofErr w:type="spellEnd"/>
      <w:r>
        <w:t xml:space="preserve"> sont trop volumineux, un empêchement de libre rotation peut avoir lieu comme cela existe avec certains diphényles </w:t>
      </w:r>
      <w:proofErr w:type="spellStart"/>
      <w:r>
        <w:t>o</w:t>
      </w:r>
      <w:proofErr w:type="gramStart"/>
      <w:r>
        <w:t>,o'</w:t>
      </w:r>
      <w:proofErr w:type="gramEnd"/>
      <w:r>
        <w:t>-disubstitués</w:t>
      </w:r>
      <w:proofErr w:type="spellEnd"/>
      <w:r>
        <w:t>. Ceci va conduire à la diminution de la constante de force et par conséquent le déplacement vers les basses fréquences du signal rattaché au vibrateur qui subit cette gêne stérique.</w:t>
      </w:r>
    </w:p>
    <w:p w:rsidR="00634F62" w:rsidRDefault="00634F62" w:rsidP="00634F62">
      <w:pPr>
        <w:autoSpaceDE w:val="0"/>
        <w:autoSpaceDN w:val="0"/>
        <w:adjustRightInd w:val="0"/>
        <w:spacing w:line="360" w:lineRule="auto"/>
        <w:ind w:right="538"/>
        <w:jc w:val="center"/>
      </w:pPr>
      <w:r>
        <w:object w:dxaOrig="3128" w:dyaOrig="2280">
          <v:shape id="_x0000_i1033" type="#_x0000_t75" style="width:104pt;height:75pt" o:ole="">
            <v:imagedata r:id="rId30" o:title=""/>
          </v:shape>
          <o:OLEObject Type="Embed" ProgID="ChemDraw.Document.4.5" ShapeID="_x0000_i1033" DrawAspect="Content" ObjectID="_1572675393" r:id="rId31"/>
        </w:object>
      </w:r>
    </w:p>
    <w:p w:rsidR="00634F62" w:rsidRDefault="00634F62" w:rsidP="00387815">
      <w:pPr>
        <w:spacing w:line="360" w:lineRule="auto"/>
        <w:ind w:right="538"/>
        <w:jc w:val="center"/>
        <w:rPr>
          <w:color w:val="000000"/>
        </w:rPr>
      </w:pPr>
      <w:r>
        <w:rPr>
          <w:color w:val="000000"/>
        </w:rPr>
        <w:t xml:space="preserve">Diphényle </w:t>
      </w:r>
      <w:proofErr w:type="spellStart"/>
      <w:r>
        <w:rPr>
          <w:color w:val="000000"/>
        </w:rPr>
        <w:t>o</w:t>
      </w:r>
      <w:proofErr w:type="gramStart"/>
      <w:r>
        <w:rPr>
          <w:color w:val="000000"/>
        </w:rPr>
        <w:t>,o’</w:t>
      </w:r>
      <w:proofErr w:type="gramEnd"/>
      <w:r>
        <w:rPr>
          <w:color w:val="000000"/>
        </w:rPr>
        <w:t>-disubstitués</w:t>
      </w:r>
      <w:proofErr w:type="spellEnd"/>
    </w:p>
    <w:p w:rsidR="00634F62" w:rsidRPr="00AC3711" w:rsidRDefault="00634F62" w:rsidP="00387815">
      <w:pPr>
        <w:spacing w:line="360" w:lineRule="auto"/>
        <w:ind w:right="562"/>
        <w:jc w:val="both"/>
        <w:rPr>
          <w:b/>
          <w:bCs/>
        </w:rPr>
      </w:pPr>
      <w:r>
        <w:rPr>
          <w:b/>
          <w:bCs/>
        </w:rPr>
        <w:tab/>
        <w:t>b)</w:t>
      </w:r>
      <w:r w:rsidRPr="00583BAB">
        <w:rPr>
          <w:b/>
          <w:bCs/>
        </w:rPr>
        <w:t xml:space="preserve"> </w:t>
      </w:r>
      <w:r>
        <w:rPr>
          <w:b/>
          <w:bCs/>
        </w:rPr>
        <w:t>tension stérique</w:t>
      </w:r>
    </w:p>
    <w:p w:rsidR="00634F62" w:rsidRPr="00613418" w:rsidRDefault="00634F62" w:rsidP="00634F62">
      <w:pPr>
        <w:spacing w:line="360" w:lineRule="auto"/>
        <w:ind w:right="562"/>
        <w:jc w:val="both"/>
        <w:rPr>
          <w:color w:val="000000"/>
        </w:rPr>
      </w:pPr>
      <w:r>
        <w:tab/>
        <w:t xml:space="preserve">Lorsque l’oscillateur est lié à une structure tendue </w:t>
      </w:r>
      <w:proofErr w:type="spellStart"/>
      <w:r>
        <w:t>stériquement</w:t>
      </w:r>
      <w:proofErr w:type="spellEnd"/>
      <w:r>
        <w:t>, sa fréquence de résonance est augmentée.</w:t>
      </w:r>
      <w:r w:rsidRPr="001772DF">
        <w:rPr>
          <w:rFonts w:ascii="Arial" w:hAnsi="Arial" w:cs="Arial"/>
          <w:color w:val="000000"/>
          <w:sz w:val="22"/>
          <w:szCs w:val="22"/>
        </w:rPr>
        <w:t xml:space="preserve"> </w:t>
      </w:r>
      <w:r>
        <w:rPr>
          <w:color w:val="000000"/>
        </w:rPr>
        <w:t>Ces</w:t>
      </w:r>
      <w:r w:rsidRPr="001772DF">
        <w:rPr>
          <w:color w:val="000000"/>
        </w:rPr>
        <w:t xml:space="preserve"> effets </w:t>
      </w:r>
      <w:r>
        <w:rPr>
          <w:color w:val="000000"/>
        </w:rPr>
        <w:t xml:space="preserve">de contrainte stérique </w:t>
      </w:r>
      <w:r w:rsidRPr="001772DF">
        <w:rPr>
          <w:color w:val="000000"/>
        </w:rPr>
        <w:t xml:space="preserve">s'observent principalement dans les cétones cycliques. </w:t>
      </w:r>
      <w:r w:rsidRPr="00613418">
        <w:rPr>
          <w:color w:val="000000"/>
        </w:rPr>
        <w:t>Pour les cycles inférieurs à 6 chaînons, on observe une fermeture de l'angle &gt;C= et une augmentation de la fréquence du carbonyle</w:t>
      </w:r>
      <w:r w:rsidRPr="00613418">
        <w:t xml:space="preserve">. </w:t>
      </w:r>
      <w:r w:rsidRPr="00613418">
        <w:rPr>
          <w:color w:val="000000"/>
        </w:rPr>
        <w:t xml:space="preserve">Au-delà de 6 chaînons, le cycle n'est plus tendu et on observe les fréquences du carbonyle habituelles. </w:t>
      </w:r>
      <w:r w:rsidRPr="00613418">
        <w:t xml:space="preserve">Ainsi, </w:t>
      </w:r>
      <w:r w:rsidRPr="00613418">
        <w:rPr>
          <w:color w:val="000000"/>
        </w:rPr>
        <w:t>la position de la bande d'absorption est largement influencée par la tension de cycle, ce qui permet de caractériser facilement la taille d'un cycle (tendu) comportant par exemple un carbonyle.</w:t>
      </w:r>
    </w:p>
    <w:p w:rsidR="00634F62" w:rsidRPr="00613418" w:rsidRDefault="00634F62" w:rsidP="00634F62">
      <w:pPr>
        <w:spacing w:line="360" w:lineRule="auto"/>
        <w:rPr>
          <w:color w:val="000000"/>
        </w:rPr>
      </w:pPr>
      <w:r w:rsidRPr="00613418">
        <w:rPr>
          <w:color w:val="000000"/>
        </w:rPr>
        <w:t>Pour les cétones cycliques, dans le cas des cycles inférieurs à 6 chaînons, on observe une diminution de l'angle de 120°. Cette contrainte stérique se manifeste par une augmentation de la fréquenc</w:t>
      </w:r>
      <w:r>
        <w:rPr>
          <w:color w:val="000000"/>
        </w:rPr>
        <w:t xml:space="preserve">e de vibration de l'élongation </w:t>
      </w:r>
      <w:r w:rsidRPr="00613418">
        <w:rPr>
          <w:color w:val="000000"/>
        </w:rPr>
        <w:t>C=O :</w:t>
      </w:r>
    </w:p>
    <w:p w:rsidR="00634F62" w:rsidRPr="00613418" w:rsidRDefault="00634F62" w:rsidP="00634F62">
      <w:pPr>
        <w:jc w:val="center"/>
        <w:rPr>
          <w:rFonts w:ascii="Arial" w:hAnsi="Arial" w:cs="Arial"/>
          <w:color w:val="000000"/>
          <w:sz w:val="22"/>
          <w:szCs w:val="22"/>
        </w:rPr>
      </w:pPr>
      <w:r>
        <w:rPr>
          <w:rFonts w:ascii="Arial" w:hAnsi="Arial" w:cs="Arial"/>
          <w:noProof/>
          <w:color w:val="000000"/>
          <w:sz w:val="22"/>
          <w:szCs w:val="22"/>
        </w:rPr>
        <w:drawing>
          <wp:inline distT="0" distB="0" distL="0" distR="0">
            <wp:extent cx="3743325" cy="800100"/>
            <wp:effectExtent l="19050" t="0" r="9525" b="0"/>
            <wp:docPr id="36" name="Image 14" descr="http://www.uel.education.fr/consultation/reference/chimie/spectro/infra_rouge/images/ir_2/ir_2_10f.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www.uel.education.fr/consultation/reference/chimie/spectro/infra_rouge/images/ir_2/ir_2_10f.gif"/>
                    <pic:cNvPicPr>
                      <a:picLocks noChangeAspect="1" noChangeArrowheads="1"/>
                    </pic:cNvPicPr>
                  </pic:nvPicPr>
                  <pic:blipFill>
                    <a:blip r:embed="rId32" r:link="rId33" cstate="print"/>
                    <a:srcRect/>
                    <a:stretch>
                      <a:fillRect/>
                    </a:stretch>
                  </pic:blipFill>
                  <pic:spPr bwMode="auto">
                    <a:xfrm>
                      <a:off x="0" y="0"/>
                      <a:ext cx="3743325" cy="800100"/>
                    </a:xfrm>
                    <a:prstGeom prst="rect">
                      <a:avLst/>
                    </a:prstGeom>
                    <a:noFill/>
                    <a:ln w="9525">
                      <a:noFill/>
                      <a:miter lim="800000"/>
                      <a:headEnd/>
                      <a:tailEnd/>
                    </a:ln>
                  </pic:spPr>
                </pic:pic>
              </a:graphicData>
            </a:graphic>
          </wp:inline>
        </w:drawing>
      </w:r>
    </w:p>
    <w:p w:rsidR="00634F62" w:rsidRPr="00387815" w:rsidRDefault="00634F62" w:rsidP="00387815">
      <w:pPr>
        <w:spacing w:before="240" w:line="360" w:lineRule="auto"/>
        <w:ind w:right="538"/>
        <w:jc w:val="both"/>
        <w:rPr>
          <w:b/>
          <w:bCs/>
        </w:rPr>
      </w:pPr>
      <w:r>
        <w:rPr>
          <w:b/>
          <w:bCs/>
        </w:rPr>
        <w:t>III – 2 – 1</w:t>
      </w:r>
      <w:r w:rsidRPr="001D76A2">
        <w:rPr>
          <w:b/>
          <w:bCs/>
        </w:rPr>
        <w:t xml:space="preserve"> – 4 -  Isomérie de rotation </w:t>
      </w:r>
    </w:p>
    <w:p w:rsidR="00634F62" w:rsidRDefault="00634F62" w:rsidP="00634F62">
      <w:pPr>
        <w:spacing w:line="360" w:lineRule="auto"/>
        <w:ind w:right="538"/>
        <w:jc w:val="both"/>
        <w:rPr>
          <w:color w:val="000000"/>
        </w:rPr>
      </w:pPr>
      <w:r>
        <w:rPr>
          <w:color w:val="000000"/>
        </w:rPr>
        <w:t xml:space="preserve"> </w:t>
      </w:r>
      <w:r>
        <w:rPr>
          <w:color w:val="000000"/>
        </w:rPr>
        <w:tab/>
        <w:t xml:space="preserve">Sur les spectres de vibration de certaines molécules telles que les composés carbonylés ou halogénés, certaines bandes se présentent sous la forme de doublets dont les intensités relatives dépendent de la température, de la pression, de l’état physique et du solvant. Ce phénomène est expliqué par l’existence de </w:t>
      </w:r>
      <w:proofErr w:type="spellStart"/>
      <w:r>
        <w:rPr>
          <w:color w:val="000000"/>
        </w:rPr>
        <w:t>conformères</w:t>
      </w:r>
      <w:proofErr w:type="spellEnd"/>
      <w:r>
        <w:rPr>
          <w:color w:val="000000"/>
        </w:rPr>
        <w:t xml:space="preserve"> ou isomères de rotation.</w:t>
      </w:r>
    </w:p>
    <w:p w:rsidR="00634F62" w:rsidRDefault="00634F62" w:rsidP="00634F62">
      <w:pPr>
        <w:spacing w:line="360" w:lineRule="auto"/>
        <w:ind w:right="538"/>
        <w:jc w:val="both"/>
        <w:rPr>
          <w:color w:val="000000"/>
        </w:rPr>
      </w:pPr>
      <w:r>
        <w:rPr>
          <w:color w:val="000000"/>
        </w:rPr>
        <w:t xml:space="preserve">Exemple : cas du furfural                              </w:t>
      </w:r>
    </w:p>
    <w:p w:rsidR="00634F62" w:rsidRPr="00387815" w:rsidRDefault="00634F62" w:rsidP="00387815">
      <w:pPr>
        <w:spacing w:line="360" w:lineRule="auto"/>
        <w:ind w:right="538"/>
        <w:jc w:val="both"/>
      </w:pPr>
      <w:r>
        <w:t xml:space="preserve">                                                        </w:t>
      </w:r>
      <w:r>
        <w:object w:dxaOrig="2044" w:dyaOrig="1284">
          <v:shape id="_x0000_i1034" type="#_x0000_t75" style="width:87pt;height:55pt" o:ole="">
            <v:imagedata r:id="rId34" o:title=""/>
          </v:shape>
          <o:OLEObject Type="Embed" ProgID="ChemDraw.Document.4.5" ShapeID="_x0000_i1034" DrawAspect="Content" ObjectID="_1572675394" r:id="rId35"/>
        </w:object>
      </w:r>
    </w:p>
    <w:p w:rsidR="00634F62" w:rsidRDefault="00634F62" w:rsidP="00634F62">
      <w:pPr>
        <w:spacing w:line="360" w:lineRule="auto"/>
        <w:ind w:right="538"/>
        <w:jc w:val="both"/>
        <w:rPr>
          <w:color w:val="000000"/>
        </w:rPr>
      </w:pPr>
      <w:r>
        <w:rPr>
          <w:color w:val="000000"/>
        </w:rPr>
        <w:tab/>
        <w:t xml:space="preserve">Deux bandes sont observées, dans la région d’absorption </w:t>
      </w:r>
      <w:r>
        <w:rPr>
          <w:color w:val="000000"/>
        </w:rPr>
        <w:sym w:font="Symbol" w:char="F06E"/>
      </w:r>
      <w:proofErr w:type="gramStart"/>
      <w:r>
        <w:rPr>
          <w:color w:val="000000"/>
        </w:rPr>
        <w:t>(</w:t>
      </w:r>
      <w:r w:rsidRPr="001726C4">
        <w:rPr>
          <w:color w:val="000000"/>
        </w:rPr>
        <w:t xml:space="preserve"> </w:t>
      </w:r>
      <w:r>
        <w:rPr>
          <w:color w:val="000000"/>
        </w:rPr>
        <w:t>C</w:t>
      </w:r>
      <w:proofErr w:type="gramEnd"/>
      <w:r>
        <w:rPr>
          <w:color w:val="000000"/>
        </w:rPr>
        <w:t xml:space="preserve">=O), sur les spectres IR des solutions dans différents solvants ainsi que sur ceux enregistrés à deux </w:t>
      </w:r>
      <w:r>
        <w:rPr>
          <w:color w:val="000000"/>
        </w:rPr>
        <w:lastRenderedPageBreak/>
        <w:t>températures. Elles sont expliquées par l’existence de deux isomères selon que le cycle est dans le plan CHO ou perpendiculaire à celui-ci.</w:t>
      </w:r>
    </w:p>
    <w:p w:rsidR="00634F62" w:rsidRDefault="00634F62" w:rsidP="00634F62">
      <w:pPr>
        <w:spacing w:line="360" w:lineRule="auto"/>
        <w:ind w:right="562"/>
        <w:jc w:val="both"/>
        <w:rPr>
          <w:color w:val="000000"/>
        </w:rPr>
      </w:pPr>
    </w:p>
    <w:p w:rsidR="00634F62" w:rsidRDefault="00634F62" w:rsidP="00634F62">
      <w:pPr>
        <w:spacing w:line="360" w:lineRule="auto"/>
        <w:ind w:right="562"/>
        <w:jc w:val="center"/>
        <w:rPr>
          <w:color w:val="000000"/>
        </w:rPr>
      </w:pPr>
      <w:r>
        <w:rPr>
          <w:noProof/>
          <w:color w:val="000000"/>
        </w:rPr>
        <w:drawing>
          <wp:inline distT="0" distB="0" distL="0" distR="0">
            <wp:extent cx="4476750" cy="4838700"/>
            <wp:effectExtent l="19050" t="0" r="0" b="0"/>
            <wp:docPr id="37" name="Imag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36" cstate="print"/>
                    <a:srcRect/>
                    <a:stretch>
                      <a:fillRect/>
                    </a:stretch>
                  </pic:blipFill>
                  <pic:spPr bwMode="auto">
                    <a:xfrm>
                      <a:off x="0" y="0"/>
                      <a:ext cx="4476750" cy="4838700"/>
                    </a:xfrm>
                    <a:prstGeom prst="rect">
                      <a:avLst/>
                    </a:prstGeom>
                    <a:noFill/>
                    <a:ln w="9525">
                      <a:noFill/>
                      <a:miter lim="800000"/>
                      <a:headEnd/>
                      <a:tailEnd/>
                    </a:ln>
                  </pic:spPr>
                </pic:pic>
              </a:graphicData>
            </a:graphic>
          </wp:inline>
        </w:drawing>
      </w:r>
    </w:p>
    <w:p w:rsidR="00634F62" w:rsidRPr="00FD4009" w:rsidRDefault="00634F62" w:rsidP="00634F62">
      <w:pPr>
        <w:spacing w:line="360" w:lineRule="auto"/>
        <w:ind w:left="-180" w:right="72"/>
        <w:jc w:val="center"/>
        <w:rPr>
          <w:color w:val="000000"/>
          <w:sz w:val="20"/>
          <w:szCs w:val="20"/>
        </w:rPr>
      </w:pPr>
      <w:r w:rsidRPr="00732EEA">
        <w:rPr>
          <w:color w:val="000000"/>
          <w:sz w:val="20"/>
          <w:szCs w:val="20"/>
        </w:rPr>
        <w:t>Figure</w:t>
      </w:r>
      <w:r>
        <w:rPr>
          <w:color w:val="000000"/>
          <w:sz w:val="20"/>
          <w:szCs w:val="20"/>
        </w:rPr>
        <w:t xml:space="preserve"> 3.3</w:t>
      </w:r>
      <w:r w:rsidRPr="00732EEA">
        <w:rPr>
          <w:color w:val="000000"/>
          <w:sz w:val="20"/>
          <w:szCs w:val="20"/>
        </w:rPr>
        <w:t xml:space="preserve"> : Vibration </w:t>
      </w:r>
      <w:r w:rsidRPr="00732EEA">
        <w:rPr>
          <w:color w:val="000000"/>
          <w:sz w:val="20"/>
          <w:szCs w:val="20"/>
        </w:rPr>
        <w:sym w:font="Symbol" w:char="F06E"/>
      </w:r>
      <w:r w:rsidRPr="00732EEA">
        <w:rPr>
          <w:color w:val="000000"/>
          <w:sz w:val="20"/>
          <w:szCs w:val="20"/>
        </w:rPr>
        <w:t>(C=O) du furfural par infrarouge : mise en évidence d’isomères de rotation  A : effet de solvant ; B : effet de température</w:t>
      </w:r>
    </w:p>
    <w:p w:rsidR="00634F62" w:rsidRPr="00387815" w:rsidRDefault="00634F62" w:rsidP="00387815">
      <w:pPr>
        <w:spacing w:line="360" w:lineRule="auto"/>
        <w:ind w:right="562"/>
        <w:jc w:val="both"/>
        <w:rPr>
          <w:b/>
          <w:bCs/>
        </w:rPr>
      </w:pPr>
      <w:r w:rsidRPr="007372AE">
        <w:rPr>
          <w:b/>
          <w:bCs/>
        </w:rPr>
        <w:t xml:space="preserve">III – 2 </w:t>
      </w:r>
      <w:r>
        <w:rPr>
          <w:b/>
          <w:bCs/>
        </w:rPr>
        <w:t>– 1</w:t>
      </w:r>
      <w:r w:rsidRPr="007372AE">
        <w:rPr>
          <w:b/>
          <w:bCs/>
        </w:rPr>
        <w:t xml:space="preserve"> – 5 -  Influence de la multiplicité </w:t>
      </w:r>
    </w:p>
    <w:p w:rsidR="00634F62" w:rsidRDefault="00634F62" w:rsidP="00387815">
      <w:pPr>
        <w:spacing w:line="360" w:lineRule="auto"/>
        <w:ind w:right="562"/>
        <w:jc w:val="both"/>
        <w:rPr>
          <w:color w:val="000000"/>
        </w:rPr>
      </w:pPr>
      <w:r>
        <w:rPr>
          <w:color w:val="000000"/>
        </w:rPr>
        <w:tab/>
      </w:r>
      <w:proofErr w:type="gramStart"/>
      <w:r>
        <w:rPr>
          <w:color w:val="000000"/>
        </w:rPr>
        <w:t>k</w:t>
      </w:r>
      <w:proofErr w:type="gramEnd"/>
      <w:r>
        <w:rPr>
          <w:color w:val="000000"/>
        </w:rPr>
        <w:t xml:space="preserve"> augmente avec la multiplicité. On a donc </w:t>
      </w:r>
      <w:r>
        <w:rPr>
          <w:color w:val="000000"/>
        </w:rPr>
        <w:sym w:font="Symbol" w:char="F06E"/>
      </w:r>
      <w:r>
        <w:rPr>
          <w:color w:val="000000"/>
          <w:vertAlign w:val="subscript"/>
        </w:rPr>
        <w:t>C-</w:t>
      </w:r>
      <w:r w:rsidRPr="00641560">
        <w:rPr>
          <w:color w:val="000000"/>
          <w:vertAlign w:val="subscript"/>
        </w:rPr>
        <w:t>C</w:t>
      </w:r>
      <w:r>
        <w:rPr>
          <w:color w:val="000000"/>
        </w:rPr>
        <w:t>&lt;</w:t>
      </w:r>
      <w:r>
        <w:rPr>
          <w:color w:val="000000"/>
        </w:rPr>
        <w:sym w:font="Symbol" w:char="F06E"/>
      </w:r>
      <w:r w:rsidRPr="00641560">
        <w:rPr>
          <w:color w:val="000000"/>
          <w:vertAlign w:val="subscript"/>
        </w:rPr>
        <w:t>C=C</w:t>
      </w:r>
      <w:r>
        <w:rPr>
          <w:color w:val="000000"/>
        </w:rPr>
        <w:t>&lt;</w:t>
      </w:r>
      <w:r>
        <w:rPr>
          <w:color w:val="000000"/>
        </w:rPr>
        <w:sym w:font="Symbol" w:char="F06E"/>
      </w:r>
      <w:r>
        <w:rPr>
          <w:color w:val="000000"/>
          <w:vertAlign w:val="subscript"/>
        </w:rPr>
        <w:t>C</w:t>
      </w:r>
      <w:r>
        <w:rPr>
          <w:color w:val="000000"/>
          <w:vertAlign w:val="subscript"/>
        </w:rPr>
        <w:sym w:font="Symbol" w:char="F0BA"/>
      </w:r>
      <w:r w:rsidRPr="00641560">
        <w:rPr>
          <w:color w:val="000000"/>
          <w:vertAlign w:val="subscript"/>
        </w:rPr>
        <w:t>C</w:t>
      </w:r>
      <w:r>
        <w:rPr>
          <w:color w:val="000000"/>
        </w:rPr>
        <w:t xml:space="preserve"> et ces fréquences sont approximativement dans un rapport de l’ordre de 1,3.</w:t>
      </w:r>
    </w:p>
    <w:tbl>
      <w:tblPr>
        <w:tblW w:w="0" w:type="auto"/>
        <w:tblInd w:w="104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tblPr>
      <w:tblGrid>
        <w:gridCol w:w="1800"/>
        <w:gridCol w:w="1800"/>
        <w:gridCol w:w="1800"/>
        <w:gridCol w:w="1620"/>
      </w:tblGrid>
      <w:tr w:rsidR="00634F62" w:rsidRPr="00045844" w:rsidTr="00634F62">
        <w:trPr>
          <w:trHeight w:val="320"/>
        </w:trPr>
        <w:tc>
          <w:tcPr>
            <w:tcW w:w="1800" w:type="dxa"/>
            <w:tcBorders>
              <w:bottom w:val="nil"/>
            </w:tcBorders>
            <w:vAlign w:val="center"/>
          </w:tcPr>
          <w:p w:rsidR="00634F62" w:rsidRPr="00045844" w:rsidRDefault="00634F62" w:rsidP="00634F62">
            <w:pPr>
              <w:autoSpaceDE w:val="0"/>
              <w:autoSpaceDN w:val="0"/>
              <w:adjustRightInd w:val="0"/>
              <w:ind w:right="562"/>
              <w:jc w:val="center"/>
              <w:rPr>
                <w:color w:val="000000"/>
              </w:rPr>
            </w:pPr>
            <w:r>
              <w:rPr>
                <w:b/>
                <w:bCs/>
                <w:color w:val="000000"/>
              </w:rPr>
              <w:t>Type de l</w:t>
            </w:r>
            <w:r w:rsidRPr="00045844">
              <w:rPr>
                <w:b/>
                <w:bCs/>
                <w:color w:val="000000"/>
              </w:rPr>
              <w:t xml:space="preserve">iaison </w:t>
            </w:r>
          </w:p>
        </w:tc>
        <w:tc>
          <w:tcPr>
            <w:tcW w:w="1800" w:type="dxa"/>
            <w:tcBorders>
              <w:bottom w:val="nil"/>
            </w:tcBorders>
            <w:vAlign w:val="center"/>
          </w:tcPr>
          <w:p w:rsidR="00634F62" w:rsidRPr="00045844" w:rsidRDefault="00634F62" w:rsidP="00634F62">
            <w:pPr>
              <w:autoSpaceDE w:val="0"/>
              <w:autoSpaceDN w:val="0"/>
              <w:adjustRightInd w:val="0"/>
              <w:ind w:right="562"/>
              <w:jc w:val="center"/>
              <w:rPr>
                <w:color w:val="000000"/>
              </w:rPr>
            </w:pPr>
            <w:r w:rsidRPr="00045844">
              <w:rPr>
                <w:b/>
                <w:bCs/>
                <w:color w:val="000000"/>
              </w:rPr>
              <w:t xml:space="preserve">Liaison simple </w:t>
            </w:r>
          </w:p>
        </w:tc>
        <w:tc>
          <w:tcPr>
            <w:tcW w:w="1800" w:type="dxa"/>
            <w:tcBorders>
              <w:bottom w:val="nil"/>
            </w:tcBorders>
            <w:vAlign w:val="center"/>
          </w:tcPr>
          <w:p w:rsidR="00634F62" w:rsidRPr="00045844" w:rsidRDefault="00634F62" w:rsidP="00634F62">
            <w:pPr>
              <w:autoSpaceDE w:val="0"/>
              <w:autoSpaceDN w:val="0"/>
              <w:adjustRightInd w:val="0"/>
              <w:ind w:right="562"/>
              <w:jc w:val="center"/>
              <w:rPr>
                <w:color w:val="000000"/>
              </w:rPr>
            </w:pPr>
            <w:r w:rsidRPr="00045844">
              <w:rPr>
                <w:b/>
                <w:bCs/>
                <w:color w:val="000000"/>
              </w:rPr>
              <w:t xml:space="preserve">Liaison double </w:t>
            </w:r>
          </w:p>
        </w:tc>
        <w:tc>
          <w:tcPr>
            <w:tcW w:w="1620" w:type="dxa"/>
            <w:tcBorders>
              <w:bottom w:val="nil"/>
            </w:tcBorders>
            <w:vAlign w:val="center"/>
          </w:tcPr>
          <w:p w:rsidR="00634F62" w:rsidRPr="00045844" w:rsidRDefault="00634F62" w:rsidP="00634F62">
            <w:pPr>
              <w:autoSpaceDE w:val="0"/>
              <w:autoSpaceDN w:val="0"/>
              <w:adjustRightInd w:val="0"/>
              <w:ind w:right="562"/>
              <w:jc w:val="center"/>
              <w:rPr>
                <w:color w:val="000000"/>
              </w:rPr>
            </w:pPr>
            <w:r w:rsidRPr="00045844">
              <w:rPr>
                <w:b/>
                <w:bCs/>
                <w:color w:val="000000"/>
              </w:rPr>
              <w:t xml:space="preserve">Liaison triple </w:t>
            </w:r>
          </w:p>
        </w:tc>
      </w:tr>
      <w:tr w:rsidR="00634F62" w:rsidRPr="00045844" w:rsidTr="00634F62">
        <w:trPr>
          <w:trHeight w:val="326"/>
        </w:trPr>
        <w:tc>
          <w:tcPr>
            <w:tcW w:w="1800" w:type="dxa"/>
            <w:tcBorders>
              <w:top w:val="nil"/>
            </w:tcBorders>
            <w:vAlign w:val="center"/>
          </w:tcPr>
          <w:p w:rsidR="00634F62" w:rsidRPr="00045844" w:rsidRDefault="00634F62" w:rsidP="00634F62">
            <w:pPr>
              <w:autoSpaceDE w:val="0"/>
              <w:autoSpaceDN w:val="0"/>
              <w:adjustRightInd w:val="0"/>
              <w:ind w:right="562"/>
              <w:jc w:val="center"/>
              <w:rPr>
                <w:color w:val="000000"/>
              </w:rPr>
            </w:pPr>
          </w:p>
        </w:tc>
        <w:tc>
          <w:tcPr>
            <w:tcW w:w="1800" w:type="dxa"/>
            <w:tcBorders>
              <w:top w:val="nil"/>
            </w:tcBorders>
            <w:vAlign w:val="center"/>
          </w:tcPr>
          <w:p w:rsidR="00634F62" w:rsidRPr="00045844" w:rsidRDefault="00634F62" w:rsidP="00634F62">
            <w:pPr>
              <w:autoSpaceDE w:val="0"/>
              <w:autoSpaceDN w:val="0"/>
              <w:adjustRightInd w:val="0"/>
              <w:ind w:right="562"/>
              <w:jc w:val="center"/>
              <w:rPr>
                <w:color w:val="000000"/>
              </w:rPr>
            </w:pPr>
            <w:r w:rsidRPr="00045844">
              <w:rPr>
                <w:color w:val="000000"/>
              </w:rPr>
              <w:t xml:space="preserve">≡C-C≡ </w:t>
            </w:r>
          </w:p>
        </w:tc>
        <w:tc>
          <w:tcPr>
            <w:tcW w:w="1800" w:type="dxa"/>
            <w:tcBorders>
              <w:top w:val="nil"/>
            </w:tcBorders>
            <w:vAlign w:val="center"/>
          </w:tcPr>
          <w:p w:rsidR="00634F62" w:rsidRPr="00045844" w:rsidRDefault="00634F62" w:rsidP="00634F62">
            <w:pPr>
              <w:autoSpaceDE w:val="0"/>
              <w:autoSpaceDN w:val="0"/>
              <w:adjustRightInd w:val="0"/>
              <w:ind w:right="562"/>
              <w:jc w:val="center"/>
              <w:rPr>
                <w:color w:val="000000"/>
              </w:rPr>
            </w:pPr>
            <w:r w:rsidRPr="00045844">
              <w:rPr>
                <w:color w:val="000000"/>
              </w:rPr>
              <w:t xml:space="preserve">&gt;C=C&lt; </w:t>
            </w:r>
          </w:p>
        </w:tc>
        <w:tc>
          <w:tcPr>
            <w:tcW w:w="1620" w:type="dxa"/>
            <w:tcBorders>
              <w:top w:val="nil"/>
            </w:tcBorders>
            <w:vAlign w:val="center"/>
          </w:tcPr>
          <w:p w:rsidR="00634F62" w:rsidRPr="00045844" w:rsidRDefault="00634F62" w:rsidP="00634F62">
            <w:pPr>
              <w:autoSpaceDE w:val="0"/>
              <w:autoSpaceDN w:val="0"/>
              <w:adjustRightInd w:val="0"/>
              <w:ind w:right="562"/>
              <w:jc w:val="center"/>
              <w:rPr>
                <w:color w:val="000000"/>
              </w:rPr>
            </w:pPr>
            <w:r w:rsidRPr="00045844">
              <w:rPr>
                <w:color w:val="000000"/>
              </w:rPr>
              <w:t xml:space="preserve">-C≡C- </w:t>
            </w:r>
          </w:p>
        </w:tc>
      </w:tr>
      <w:tr w:rsidR="00634F62" w:rsidRPr="00045844" w:rsidTr="00634F62">
        <w:trPr>
          <w:trHeight w:val="345"/>
        </w:trPr>
        <w:tc>
          <w:tcPr>
            <w:tcW w:w="1800" w:type="dxa"/>
            <w:vAlign w:val="center"/>
          </w:tcPr>
          <w:p w:rsidR="00634F62" w:rsidRPr="00045844" w:rsidRDefault="00634F62" w:rsidP="00634F62">
            <w:pPr>
              <w:autoSpaceDE w:val="0"/>
              <w:autoSpaceDN w:val="0"/>
              <w:adjustRightInd w:val="0"/>
              <w:ind w:right="65"/>
              <w:jc w:val="center"/>
              <w:rPr>
                <w:color w:val="000000"/>
              </w:rPr>
            </w:pPr>
            <w:r w:rsidRPr="00045844">
              <w:rPr>
                <w:color w:val="000000"/>
              </w:rPr>
              <w:t xml:space="preserve">k </w:t>
            </w:r>
            <w:r>
              <w:rPr>
                <w:color w:val="000000"/>
              </w:rPr>
              <w:t>(</w:t>
            </w:r>
            <w:r w:rsidRPr="00045844">
              <w:rPr>
                <w:color w:val="000000"/>
              </w:rPr>
              <w:t>dyne.c</w:t>
            </w:r>
            <w:r>
              <w:rPr>
                <w:color w:val="000000"/>
              </w:rPr>
              <w:t>m</w:t>
            </w:r>
            <w:r>
              <w:rPr>
                <w:color w:val="000000"/>
                <w:vertAlign w:val="superscript"/>
              </w:rPr>
              <w:t>-1</w:t>
            </w:r>
            <w:r>
              <w:rPr>
                <w:color w:val="000000"/>
              </w:rPr>
              <w:t>)</w:t>
            </w:r>
          </w:p>
        </w:tc>
        <w:tc>
          <w:tcPr>
            <w:tcW w:w="1800" w:type="dxa"/>
            <w:vAlign w:val="center"/>
          </w:tcPr>
          <w:p w:rsidR="00634F62" w:rsidRPr="00045844" w:rsidRDefault="00634F62" w:rsidP="00634F62">
            <w:pPr>
              <w:autoSpaceDE w:val="0"/>
              <w:autoSpaceDN w:val="0"/>
              <w:adjustRightInd w:val="0"/>
              <w:ind w:right="562"/>
              <w:jc w:val="center"/>
              <w:rPr>
                <w:color w:val="000000"/>
              </w:rPr>
            </w:pPr>
            <w:proofErr w:type="gramStart"/>
            <w:r w:rsidRPr="00045844">
              <w:rPr>
                <w:color w:val="000000"/>
              </w:rPr>
              <w:t>5 .</w:t>
            </w:r>
            <w:proofErr w:type="gramEnd"/>
            <w:r w:rsidRPr="00045844">
              <w:rPr>
                <w:color w:val="000000"/>
              </w:rPr>
              <w:t xml:space="preserve"> 10</w:t>
            </w:r>
            <w:r w:rsidRPr="00045844">
              <w:rPr>
                <w:color w:val="000000"/>
                <w:position w:val="10"/>
                <w:vertAlign w:val="superscript"/>
              </w:rPr>
              <w:t xml:space="preserve">5 </w:t>
            </w:r>
          </w:p>
        </w:tc>
        <w:tc>
          <w:tcPr>
            <w:tcW w:w="1800" w:type="dxa"/>
            <w:vAlign w:val="center"/>
          </w:tcPr>
          <w:p w:rsidR="00634F62" w:rsidRPr="00045844" w:rsidRDefault="00634F62" w:rsidP="00634F62">
            <w:pPr>
              <w:autoSpaceDE w:val="0"/>
              <w:autoSpaceDN w:val="0"/>
              <w:adjustRightInd w:val="0"/>
              <w:ind w:right="562"/>
              <w:jc w:val="center"/>
              <w:rPr>
                <w:color w:val="000000"/>
              </w:rPr>
            </w:pPr>
            <w:proofErr w:type="gramStart"/>
            <w:r w:rsidRPr="00045844">
              <w:rPr>
                <w:color w:val="000000"/>
              </w:rPr>
              <w:t>10 .</w:t>
            </w:r>
            <w:proofErr w:type="gramEnd"/>
            <w:r w:rsidRPr="00045844">
              <w:rPr>
                <w:color w:val="000000"/>
              </w:rPr>
              <w:t xml:space="preserve"> 10</w:t>
            </w:r>
            <w:r w:rsidRPr="00045844">
              <w:rPr>
                <w:color w:val="000000"/>
                <w:position w:val="10"/>
                <w:vertAlign w:val="superscript"/>
              </w:rPr>
              <w:t xml:space="preserve">5 </w:t>
            </w:r>
          </w:p>
        </w:tc>
        <w:tc>
          <w:tcPr>
            <w:tcW w:w="1620" w:type="dxa"/>
            <w:vAlign w:val="center"/>
          </w:tcPr>
          <w:p w:rsidR="00634F62" w:rsidRPr="00045844" w:rsidRDefault="00634F62" w:rsidP="00634F62">
            <w:pPr>
              <w:autoSpaceDE w:val="0"/>
              <w:autoSpaceDN w:val="0"/>
              <w:adjustRightInd w:val="0"/>
              <w:ind w:right="562"/>
              <w:jc w:val="center"/>
              <w:rPr>
                <w:color w:val="000000"/>
              </w:rPr>
            </w:pPr>
            <w:r w:rsidRPr="00045844">
              <w:rPr>
                <w:color w:val="000000"/>
              </w:rPr>
              <w:t xml:space="preserve"> </w:t>
            </w:r>
            <w:proofErr w:type="gramStart"/>
            <w:r w:rsidRPr="00045844">
              <w:rPr>
                <w:color w:val="000000"/>
              </w:rPr>
              <w:t>15 .</w:t>
            </w:r>
            <w:proofErr w:type="gramEnd"/>
            <w:r w:rsidRPr="00045844">
              <w:rPr>
                <w:color w:val="000000"/>
              </w:rPr>
              <w:t xml:space="preserve"> 10</w:t>
            </w:r>
            <w:r w:rsidRPr="00045844">
              <w:rPr>
                <w:color w:val="000000"/>
                <w:position w:val="10"/>
                <w:vertAlign w:val="superscript"/>
              </w:rPr>
              <w:t xml:space="preserve">5 </w:t>
            </w:r>
          </w:p>
        </w:tc>
      </w:tr>
      <w:tr w:rsidR="00634F62" w:rsidRPr="00045844" w:rsidTr="00634F62">
        <w:trPr>
          <w:trHeight w:val="395"/>
        </w:trPr>
        <w:tc>
          <w:tcPr>
            <w:tcW w:w="1800" w:type="dxa"/>
            <w:vAlign w:val="center"/>
          </w:tcPr>
          <w:p w:rsidR="00634F62" w:rsidRPr="00045844" w:rsidRDefault="00634F62" w:rsidP="00634F62">
            <w:pPr>
              <w:autoSpaceDE w:val="0"/>
              <w:autoSpaceDN w:val="0"/>
              <w:adjustRightInd w:val="0"/>
              <w:ind w:right="562"/>
              <w:jc w:val="center"/>
              <w:rPr>
                <w:color w:val="000000"/>
              </w:rPr>
            </w:pPr>
            <w:r w:rsidRPr="00045844">
              <w:rPr>
                <w:color w:val="000000"/>
              </w:rPr>
              <w:t xml:space="preserve">ν </w:t>
            </w:r>
            <w:r>
              <w:rPr>
                <w:color w:val="000000"/>
              </w:rPr>
              <w:t>(</w:t>
            </w:r>
            <w:r w:rsidRPr="00045844">
              <w:rPr>
                <w:color w:val="000000"/>
              </w:rPr>
              <w:t>cm</w:t>
            </w:r>
            <w:r>
              <w:rPr>
                <w:color w:val="000000"/>
                <w:vertAlign w:val="superscript"/>
              </w:rPr>
              <w:t>-1</w:t>
            </w:r>
            <w:r>
              <w:rPr>
                <w:color w:val="000000"/>
              </w:rPr>
              <w:t>)</w:t>
            </w:r>
          </w:p>
        </w:tc>
        <w:tc>
          <w:tcPr>
            <w:tcW w:w="1800" w:type="dxa"/>
            <w:vAlign w:val="center"/>
          </w:tcPr>
          <w:p w:rsidR="00634F62" w:rsidRPr="00045844" w:rsidRDefault="00634F62" w:rsidP="00634F62">
            <w:pPr>
              <w:autoSpaceDE w:val="0"/>
              <w:autoSpaceDN w:val="0"/>
              <w:adjustRightInd w:val="0"/>
              <w:ind w:right="562"/>
              <w:jc w:val="center"/>
              <w:rPr>
                <w:color w:val="000000"/>
              </w:rPr>
            </w:pPr>
            <w:r w:rsidRPr="00045844">
              <w:rPr>
                <w:color w:val="000000"/>
              </w:rPr>
              <w:t>1250</w:t>
            </w:r>
          </w:p>
        </w:tc>
        <w:tc>
          <w:tcPr>
            <w:tcW w:w="1800" w:type="dxa"/>
            <w:vAlign w:val="center"/>
          </w:tcPr>
          <w:p w:rsidR="00634F62" w:rsidRPr="00045844" w:rsidRDefault="00634F62" w:rsidP="00634F62">
            <w:pPr>
              <w:autoSpaceDE w:val="0"/>
              <w:autoSpaceDN w:val="0"/>
              <w:adjustRightInd w:val="0"/>
              <w:jc w:val="center"/>
              <w:rPr>
                <w:color w:val="000000"/>
              </w:rPr>
            </w:pPr>
            <w:r w:rsidRPr="00045844">
              <w:rPr>
                <w:color w:val="000000"/>
              </w:rPr>
              <w:t>1680</w:t>
            </w:r>
            <w:r>
              <w:rPr>
                <w:color w:val="000000"/>
              </w:rPr>
              <w:t>-</w:t>
            </w:r>
            <w:r w:rsidRPr="00045844">
              <w:rPr>
                <w:color w:val="000000"/>
              </w:rPr>
              <w:t>1620</w:t>
            </w:r>
          </w:p>
        </w:tc>
        <w:tc>
          <w:tcPr>
            <w:tcW w:w="1620" w:type="dxa"/>
            <w:vAlign w:val="center"/>
          </w:tcPr>
          <w:p w:rsidR="00634F62" w:rsidRPr="00045844" w:rsidRDefault="00634F62" w:rsidP="00634F62">
            <w:pPr>
              <w:autoSpaceDE w:val="0"/>
              <w:autoSpaceDN w:val="0"/>
              <w:adjustRightInd w:val="0"/>
              <w:ind w:right="65"/>
              <w:jc w:val="center"/>
              <w:rPr>
                <w:color w:val="000000"/>
              </w:rPr>
            </w:pPr>
            <w:r w:rsidRPr="00045844">
              <w:rPr>
                <w:color w:val="000000"/>
              </w:rPr>
              <w:t>2200</w:t>
            </w:r>
            <w:r>
              <w:rPr>
                <w:color w:val="000000"/>
              </w:rPr>
              <w:t>-</w:t>
            </w:r>
            <w:r w:rsidRPr="00045844">
              <w:rPr>
                <w:color w:val="000000"/>
              </w:rPr>
              <w:t>2100</w:t>
            </w:r>
            <w:r w:rsidRPr="00045844">
              <w:rPr>
                <w:color w:val="000000"/>
                <w:position w:val="10"/>
                <w:vertAlign w:val="superscript"/>
              </w:rPr>
              <w:t xml:space="preserve"> </w:t>
            </w:r>
          </w:p>
        </w:tc>
      </w:tr>
    </w:tbl>
    <w:p w:rsidR="00634F62" w:rsidRPr="00DD6C30" w:rsidRDefault="00634F62" w:rsidP="00DD6C30">
      <w:pPr>
        <w:spacing w:before="100" w:beforeAutospacing="1" w:after="100" w:afterAutospacing="1" w:line="360" w:lineRule="auto"/>
        <w:ind w:firstLine="708"/>
        <w:rPr>
          <w:color w:val="000000"/>
        </w:rPr>
      </w:pPr>
      <w:r w:rsidRPr="004D16B1">
        <w:rPr>
          <w:color w:val="000000"/>
        </w:rPr>
        <w:lastRenderedPageBreak/>
        <w:t>Le passage de la liaison simple, à la liaison double, à la liaison triple, entraîne un accroissement de la constante de force k avec l'ordre de la liaison et justifie une augmentation des valeurs des plages de fréquences observées.</w:t>
      </w:r>
    </w:p>
    <w:p w:rsidR="00634F62" w:rsidRPr="007372AE" w:rsidRDefault="00634F62" w:rsidP="00634F62">
      <w:pPr>
        <w:spacing w:line="360" w:lineRule="auto"/>
        <w:ind w:right="562"/>
        <w:jc w:val="both"/>
        <w:rPr>
          <w:b/>
          <w:bCs/>
        </w:rPr>
      </w:pPr>
      <w:r>
        <w:rPr>
          <w:b/>
          <w:bCs/>
        </w:rPr>
        <w:t>III – 2 – 1</w:t>
      </w:r>
      <w:r w:rsidRPr="007372AE">
        <w:rPr>
          <w:b/>
          <w:bCs/>
        </w:rPr>
        <w:t xml:space="preserve"> – 6 - Influence de la conjugaison</w:t>
      </w:r>
    </w:p>
    <w:p w:rsidR="00634F62" w:rsidRPr="00AC3711" w:rsidRDefault="00634F62" w:rsidP="00634F62">
      <w:pPr>
        <w:spacing w:line="360" w:lineRule="auto"/>
        <w:ind w:right="562"/>
        <w:jc w:val="both"/>
        <w:rPr>
          <w:b/>
          <w:bCs/>
          <w:color w:val="000000"/>
        </w:rPr>
      </w:pPr>
    </w:p>
    <w:p w:rsidR="00DD6C30" w:rsidRDefault="00634F62" w:rsidP="00387815">
      <w:pPr>
        <w:autoSpaceDE w:val="0"/>
        <w:autoSpaceDN w:val="0"/>
        <w:adjustRightInd w:val="0"/>
        <w:spacing w:line="360" w:lineRule="auto"/>
        <w:jc w:val="both"/>
        <w:rPr>
          <w:color w:val="000000"/>
        </w:rPr>
      </w:pPr>
      <w:r>
        <w:rPr>
          <w:color w:val="000000"/>
        </w:rPr>
        <w:tab/>
        <w:t xml:space="preserve">La délocalisation </w:t>
      </w:r>
      <w:r>
        <w:t>des électrons de la liaison</w:t>
      </w:r>
      <w:r>
        <w:rPr>
          <w:color w:val="000000"/>
        </w:rPr>
        <w:t xml:space="preserve"> a pour effet de diminuer la constante k et par conséquent </w:t>
      </w:r>
      <w:r>
        <w:t>le nombre d’onde diminue de 20 à 80 cm</w:t>
      </w:r>
      <w:r w:rsidRPr="00045844">
        <w:rPr>
          <w:position w:val="10"/>
          <w:vertAlign w:val="superscript"/>
        </w:rPr>
        <w:t xml:space="preserve">-1 </w:t>
      </w:r>
      <w:r>
        <w:t>par rapport à une liaison non conjuguée</w:t>
      </w:r>
      <w:r>
        <w:rPr>
          <w:color w:val="000000"/>
        </w:rPr>
        <w:t>.</w:t>
      </w:r>
    </w:p>
    <w:p w:rsidR="00387815" w:rsidRDefault="00387815" w:rsidP="00387815">
      <w:pPr>
        <w:autoSpaceDE w:val="0"/>
        <w:autoSpaceDN w:val="0"/>
        <w:adjustRightInd w:val="0"/>
        <w:spacing w:line="360" w:lineRule="auto"/>
        <w:jc w:val="both"/>
        <w:rPr>
          <w:color w:val="000000"/>
        </w:rPr>
      </w:pPr>
    </w:p>
    <w:p w:rsidR="00387815" w:rsidRPr="00387815" w:rsidRDefault="00387815" w:rsidP="00387815">
      <w:pPr>
        <w:autoSpaceDE w:val="0"/>
        <w:autoSpaceDN w:val="0"/>
        <w:adjustRightInd w:val="0"/>
        <w:spacing w:line="360" w:lineRule="auto"/>
        <w:jc w:val="both"/>
        <w:rPr>
          <w:color w:val="000000"/>
        </w:rPr>
      </w:pPr>
    </w:p>
    <w:p w:rsidR="00DD6C30" w:rsidRDefault="00DD6C30" w:rsidP="00DD6C30">
      <w:pPr>
        <w:spacing w:line="360" w:lineRule="auto"/>
        <w:ind w:right="562"/>
        <w:rPr>
          <w:b/>
          <w:bCs/>
        </w:rPr>
      </w:pPr>
    </w:p>
    <w:p w:rsidR="00387815" w:rsidRDefault="00387815" w:rsidP="00DD6C30">
      <w:pPr>
        <w:spacing w:line="360" w:lineRule="auto"/>
        <w:ind w:right="562"/>
        <w:rPr>
          <w:b/>
          <w:bCs/>
        </w:rPr>
      </w:pPr>
    </w:p>
    <w:p w:rsidR="00387815" w:rsidRDefault="00387815" w:rsidP="00DD6C30">
      <w:pPr>
        <w:spacing w:line="360" w:lineRule="auto"/>
        <w:ind w:right="562"/>
        <w:rPr>
          <w:b/>
          <w:bCs/>
        </w:rPr>
      </w:pPr>
    </w:p>
    <w:p w:rsidR="00387815" w:rsidRDefault="00387815" w:rsidP="00DD6C30">
      <w:pPr>
        <w:spacing w:line="360" w:lineRule="auto"/>
        <w:ind w:right="562"/>
        <w:rPr>
          <w:b/>
          <w:bCs/>
        </w:rPr>
      </w:pPr>
    </w:p>
    <w:p w:rsidR="00387815" w:rsidRDefault="00387815" w:rsidP="00DD6C30">
      <w:pPr>
        <w:spacing w:line="360" w:lineRule="auto"/>
        <w:ind w:right="562"/>
        <w:rPr>
          <w:b/>
          <w:bCs/>
        </w:rPr>
      </w:pPr>
    </w:p>
    <w:p w:rsidR="00387815" w:rsidRDefault="00387815" w:rsidP="00DD6C30">
      <w:pPr>
        <w:spacing w:line="360" w:lineRule="auto"/>
        <w:ind w:right="562"/>
        <w:rPr>
          <w:b/>
          <w:bCs/>
        </w:rPr>
      </w:pPr>
    </w:p>
    <w:p w:rsidR="00387815" w:rsidRDefault="00387815" w:rsidP="00DD6C30">
      <w:pPr>
        <w:spacing w:line="360" w:lineRule="auto"/>
        <w:ind w:right="562"/>
        <w:rPr>
          <w:b/>
          <w:bCs/>
        </w:rPr>
      </w:pPr>
    </w:p>
    <w:p w:rsidR="00387815" w:rsidRDefault="00387815" w:rsidP="00DD6C30">
      <w:pPr>
        <w:spacing w:line="360" w:lineRule="auto"/>
        <w:ind w:right="562"/>
        <w:rPr>
          <w:b/>
          <w:bCs/>
        </w:rPr>
      </w:pPr>
    </w:p>
    <w:p w:rsidR="00387815" w:rsidRDefault="00387815" w:rsidP="00DD6C30">
      <w:pPr>
        <w:spacing w:line="360" w:lineRule="auto"/>
        <w:ind w:right="562"/>
        <w:rPr>
          <w:b/>
          <w:bCs/>
        </w:rPr>
      </w:pPr>
    </w:p>
    <w:p w:rsidR="00387815" w:rsidRDefault="00387815" w:rsidP="00DD6C30">
      <w:pPr>
        <w:spacing w:line="360" w:lineRule="auto"/>
        <w:ind w:right="562"/>
        <w:rPr>
          <w:b/>
          <w:bCs/>
        </w:rPr>
      </w:pPr>
    </w:p>
    <w:p w:rsidR="00387815" w:rsidRDefault="00387815" w:rsidP="00DD6C30">
      <w:pPr>
        <w:spacing w:line="360" w:lineRule="auto"/>
        <w:ind w:right="562"/>
        <w:rPr>
          <w:b/>
          <w:bCs/>
        </w:rPr>
      </w:pPr>
    </w:p>
    <w:p w:rsidR="00387815" w:rsidRDefault="00387815" w:rsidP="00DD6C30">
      <w:pPr>
        <w:spacing w:line="360" w:lineRule="auto"/>
        <w:ind w:right="562"/>
        <w:rPr>
          <w:b/>
          <w:bCs/>
        </w:rPr>
      </w:pPr>
    </w:p>
    <w:p w:rsidR="00387815" w:rsidRDefault="00387815" w:rsidP="00DD6C30">
      <w:pPr>
        <w:spacing w:line="360" w:lineRule="auto"/>
        <w:ind w:right="562"/>
        <w:rPr>
          <w:b/>
          <w:bCs/>
        </w:rPr>
      </w:pPr>
    </w:p>
    <w:p w:rsidR="00387815" w:rsidRDefault="00387815" w:rsidP="00DD6C30">
      <w:pPr>
        <w:spacing w:line="360" w:lineRule="auto"/>
        <w:ind w:right="562"/>
        <w:rPr>
          <w:b/>
          <w:bCs/>
        </w:rPr>
      </w:pPr>
    </w:p>
    <w:p w:rsidR="00387815" w:rsidRDefault="00387815" w:rsidP="00DD6C30">
      <w:pPr>
        <w:spacing w:line="360" w:lineRule="auto"/>
        <w:ind w:right="562"/>
        <w:rPr>
          <w:b/>
          <w:bCs/>
        </w:rPr>
      </w:pPr>
    </w:p>
    <w:p w:rsidR="00387815" w:rsidRDefault="00387815" w:rsidP="00DD6C30">
      <w:pPr>
        <w:spacing w:line="360" w:lineRule="auto"/>
        <w:ind w:right="562"/>
        <w:rPr>
          <w:b/>
          <w:bCs/>
        </w:rPr>
      </w:pPr>
    </w:p>
    <w:p w:rsidR="00387815" w:rsidRDefault="00387815" w:rsidP="00DD6C30">
      <w:pPr>
        <w:spacing w:line="360" w:lineRule="auto"/>
        <w:ind w:right="562"/>
        <w:rPr>
          <w:b/>
          <w:bCs/>
        </w:rPr>
      </w:pPr>
    </w:p>
    <w:p w:rsidR="00387815" w:rsidRDefault="00387815" w:rsidP="00DD6C30">
      <w:pPr>
        <w:spacing w:line="360" w:lineRule="auto"/>
        <w:ind w:right="562"/>
        <w:rPr>
          <w:b/>
          <w:bCs/>
        </w:rPr>
      </w:pPr>
    </w:p>
    <w:p w:rsidR="00387815" w:rsidRDefault="00387815" w:rsidP="00DD6C30">
      <w:pPr>
        <w:spacing w:line="360" w:lineRule="auto"/>
        <w:ind w:right="562"/>
        <w:rPr>
          <w:b/>
          <w:bCs/>
        </w:rPr>
      </w:pPr>
    </w:p>
    <w:p w:rsidR="00387815" w:rsidRDefault="00387815" w:rsidP="00DD6C30">
      <w:pPr>
        <w:spacing w:line="360" w:lineRule="auto"/>
        <w:ind w:right="562"/>
        <w:rPr>
          <w:b/>
          <w:bCs/>
        </w:rPr>
      </w:pPr>
    </w:p>
    <w:p w:rsidR="00387815" w:rsidRPr="00DD6C30" w:rsidRDefault="00387815" w:rsidP="00DD6C30">
      <w:pPr>
        <w:spacing w:line="360" w:lineRule="auto"/>
        <w:ind w:right="562"/>
        <w:rPr>
          <w:b/>
          <w:bCs/>
        </w:rPr>
      </w:pPr>
    </w:p>
    <w:p w:rsidR="00C44384" w:rsidRPr="003357EF" w:rsidRDefault="00C44384" w:rsidP="00C44384">
      <w:pPr>
        <w:pStyle w:val="Titre2"/>
        <w:jc w:val="center"/>
        <w:rPr>
          <w:rFonts w:ascii="Book Antiqua" w:hAnsi="Book Antiqua"/>
          <w:sz w:val="32"/>
          <w:szCs w:val="32"/>
        </w:rPr>
      </w:pPr>
      <w:r w:rsidRPr="003357EF">
        <w:rPr>
          <w:rFonts w:ascii="Book Antiqua" w:hAnsi="Book Antiqua"/>
          <w:sz w:val="32"/>
          <w:szCs w:val="32"/>
        </w:rPr>
        <w:lastRenderedPageBreak/>
        <w:t xml:space="preserve">Chapitre II </w:t>
      </w:r>
    </w:p>
    <w:p w:rsidR="00C44384" w:rsidRDefault="00C44384" w:rsidP="00C44384">
      <w:pPr>
        <w:spacing w:line="360" w:lineRule="auto"/>
        <w:jc w:val="center"/>
        <w:rPr>
          <w:b/>
          <w:bCs/>
          <w:sz w:val="28"/>
          <w:szCs w:val="28"/>
        </w:rPr>
      </w:pPr>
      <w:r w:rsidRPr="00DE13DB">
        <w:rPr>
          <w:b/>
          <w:bCs/>
          <w:sz w:val="28"/>
          <w:szCs w:val="28"/>
        </w:rPr>
        <w:t>LES HYDROCARBURES</w:t>
      </w:r>
    </w:p>
    <w:p w:rsidR="00C44384" w:rsidRPr="00DE13DB" w:rsidRDefault="00C44384" w:rsidP="00C44384">
      <w:pPr>
        <w:jc w:val="center"/>
        <w:rPr>
          <w:b/>
          <w:bCs/>
          <w:sz w:val="28"/>
          <w:szCs w:val="28"/>
        </w:rPr>
      </w:pPr>
    </w:p>
    <w:p w:rsidR="00C44384" w:rsidRDefault="00C44384" w:rsidP="00C44384">
      <w:pPr>
        <w:spacing w:before="100" w:beforeAutospacing="1" w:line="360" w:lineRule="auto"/>
        <w:jc w:val="both"/>
        <w:rPr>
          <w:color w:val="000000"/>
        </w:rPr>
      </w:pPr>
      <w:r>
        <w:rPr>
          <w:color w:val="000000"/>
        </w:rPr>
        <w:tab/>
        <w:t>La spectroscopie Infrar</w:t>
      </w:r>
      <w:r w:rsidRPr="002C3979">
        <w:rPr>
          <w:color w:val="000000"/>
        </w:rPr>
        <w:t xml:space="preserve">ouge permet l'étude des vibrations moléculaires. </w:t>
      </w:r>
      <w:r w:rsidRPr="002C3979">
        <w:rPr>
          <w:color w:val="000000"/>
        </w:rPr>
        <w:br/>
        <w:t>Parmi celles-ci les vibrations d'élongation, que nous venons de développer, sont particulièrement intéressantes lors d’une élucidation structurale. Nous allons à nouveau les évoquer, accompagnées d’autres vibrations, dites de déformations, pour une étude globale des vibrations associées a</w:t>
      </w:r>
      <w:r>
        <w:rPr>
          <w:color w:val="000000"/>
        </w:rPr>
        <w:t>ux différentes fonctions de la c</w:t>
      </w:r>
      <w:r w:rsidRPr="002C3979">
        <w:rPr>
          <w:color w:val="000000"/>
        </w:rPr>
        <w:t>himie organique.</w:t>
      </w:r>
    </w:p>
    <w:p w:rsidR="00C44384" w:rsidRPr="00E14874" w:rsidRDefault="00C44384" w:rsidP="00C44384">
      <w:pPr>
        <w:spacing w:line="360" w:lineRule="auto"/>
        <w:jc w:val="both"/>
        <w:rPr>
          <w:color w:val="000000"/>
        </w:rPr>
      </w:pPr>
      <w:r>
        <w:rPr>
          <w:color w:val="000000"/>
        </w:rPr>
        <w:tab/>
      </w:r>
      <w:r w:rsidRPr="002C3979">
        <w:rPr>
          <w:color w:val="000000"/>
        </w:rPr>
        <w:t>Cette pa</w:t>
      </w:r>
      <w:r>
        <w:rPr>
          <w:color w:val="000000"/>
        </w:rPr>
        <w:t>rtie traite des spectres Infrar</w:t>
      </w:r>
      <w:r w:rsidRPr="002C3979">
        <w:rPr>
          <w:color w:val="000000"/>
        </w:rPr>
        <w:t>ouge des composés hydrocarbonés : alcanes, alc</w:t>
      </w:r>
      <w:r>
        <w:rPr>
          <w:color w:val="000000"/>
        </w:rPr>
        <w:t>ènes, alcynes, et aromatiques et concerne</w:t>
      </w:r>
      <w:r w:rsidRPr="002C3979">
        <w:rPr>
          <w:color w:val="000000"/>
        </w:rPr>
        <w:t xml:space="preserve"> l'étude des vibrations des groupements C-H, -CH</w:t>
      </w:r>
      <w:r w:rsidRPr="002C3979">
        <w:rPr>
          <w:color w:val="000000"/>
          <w:vertAlign w:val="subscript"/>
        </w:rPr>
        <w:t>2</w:t>
      </w:r>
      <w:r w:rsidRPr="002C3979">
        <w:rPr>
          <w:color w:val="000000"/>
        </w:rPr>
        <w:t>-</w:t>
      </w:r>
      <w:r>
        <w:rPr>
          <w:color w:val="000000"/>
        </w:rPr>
        <w:t>,</w:t>
      </w:r>
      <w:r w:rsidRPr="002C3979">
        <w:rPr>
          <w:color w:val="000000"/>
        </w:rPr>
        <w:t xml:space="preserve"> -CH</w:t>
      </w:r>
      <w:r w:rsidRPr="002C3979">
        <w:rPr>
          <w:color w:val="000000"/>
          <w:vertAlign w:val="subscript"/>
        </w:rPr>
        <w:t>3</w:t>
      </w:r>
      <w:r w:rsidRPr="002C3979">
        <w:rPr>
          <w:color w:val="000000"/>
        </w:rPr>
        <w:t xml:space="preserve">, </w:t>
      </w:r>
      <w:r w:rsidRPr="00A562D5">
        <w:t>C</w:t>
      </w:r>
      <w:r w:rsidRPr="00A562D5">
        <w:sym w:font="Symbol" w:char="F0BE"/>
      </w:r>
      <w:r w:rsidRPr="00A562D5">
        <w:t>C</w:t>
      </w:r>
      <w:r>
        <w:t>,</w:t>
      </w:r>
      <w:r w:rsidRPr="001C285D">
        <w:rPr>
          <w:color w:val="000000"/>
        </w:rPr>
        <w:t xml:space="preserve"> </w:t>
      </w:r>
      <w:r>
        <w:rPr>
          <w:color w:val="000000"/>
        </w:rPr>
        <w:t>&gt;C=C&lt; et</w:t>
      </w:r>
      <w:r w:rsidRPr="002C3979">
        <w:rPr>
          <w:color w:val="000000"/>
        </w:rPr>
        <w:t xml:space="preserve"> -C</w:t>
      </w:r>
      <w:r>
        <w:rPr>
          <w:noProof/>
          <w:color w:val="000000"/>
        </w:rPr>
        <w:drawing>
          <wp:inline distT="0" distB="0" distL="0" distR="0">
            <wp:extent cx="85725" cy="66675"/>
            <wp:effectExtent l="19050" t="0" r="9525" b="0"/>
            <wp:docPr id="59" name="Image 59" descr="trip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triple"/>
                    <pic:cNvPicPr>
                      <a:picLocks noChangeAspect="1" noChangeArrowheads="1"/>
                    </pic:cNvPicPr>
                  </pic:nvPicPr>
                  <pic:blipFill>
                    <a:blip r:embed="rId37" cstate="print"/>
                    <a:srcRect/>
                    <a:stretch>
                      <a:fillRect/>
                    </a:stretch>
                  </pic:blipFill>
                  <pic:spPr bwMode="auto">
                    <a:xfrm>
                      <a:off x="0" y="0"/>
                      <a:ext cx="85725" cy="66675"/>
                    </a:xfrm>
                    <a:prstGeom prst="rect">
                      <a:avLst/>
                    </a:prstGeom>
                    <a:noFill/>
                    <a:ln w="9525">
                      <a:noFill/>
                      <a:miter lim="800000"/>
                      <a:headEnd/>
                      <a:tailEnd/>
                    </a:ln>
                  </pic:spPr>
                </pic:pic>
              </a:graphicData>
            </a:graphic>
          </wp:inline>
        </w:drawing>
      </w:r>
      <w:r>
        <w:rPr>
          <w:color w:val="000000"/>
        </w:rPr>
        <w:t>C-.</w:t>
      </w:r>
    </w:p>
    <w:p w:rsidR="00C44384" w:rsidRDefault="00C44384" w:rsidP="00C44384">
      <w:pPr>
        <w:spacing w:line="360" w:lineRule="auto"/>
        <w:jc w:val="both"/>
        <w:rPr>
          <w:b/>
          <w:bCs/>
          <w:sz w:val="28"/>
          <w:szCs w:val="28"/>
        </w:rPr>
      </w:pPr>
      <w:r w:rsidRPr="00DE13DB">
        <w:rPr>
          <w:b/>
          <w:bCs/>
          <w:sz w:val="28"/>
          <w:szCs w:val="28"/>
        </w:rPr>
        <w:t>I – LES ALCANES</w:t>
      </w:r>
    </w:p>
    <w:p w:rsidR="00C44384" w:rsidRDefault="00C44384" w:rsidP="00C44384">
      <w:pPr>
        <w:jc w:val="both"/>
        <w:rPr>
          <w:b/>
          <w:bCs/>
          <w:sz w:val="28"/>
          <w:szCs w:val="28"/>
        </w:rPr>
      </w:pPr>
      <w:r>
        <w:rPr>
          <w:b/>
          <w:bCs/>
          <w:sz w:val="28"/>
          <w:szCs w:val="28"/>
        </w:rPr>
        <w:t>I – 1 – Les alcanes normaux</w:t>
      </w:r>
    </w:p>
    <w:p w:rsidR="00C44384" w:rsidRPr="002A6ED7" w:rsidRDefault="00C44384" w:rsidP="00C44384">
      <w:pPr>
        <w:jc w:val="both"/>
        <w:rPr>
          <w:b/>
          <w:bCs/>
          <w:sz w:val="28"/>
          <w:szCs w:val="28"/>
        </w:rPr>
      </w:pPr>
    </w:p>
    <w:p w:rsidR="00C44384" w:rsidRPr="00A562D5" w:rsidRDefault="00C44384" w:rsidP="00C44384">
      <w:pPr>
        <w:spacing w:line="360" w:lineRule="auto"/>
        <w:jc w:val="both"/>
      </w:pPr>
      <w:r>
        <w:rPr>
          <w:sz w:val="28"/>
          <w:szCs w:val="28"/>
        </w:rPr>
        <w:tab/>
      </w:r>
      <w:r w:rsidRPr="00A562D5">
        <w:t>Les fréquences caractéristiques des alcanes se retrouvent peu modifiées dans les groupements alkyles.</w:t>
      </w:r>
    </w:p>
    <w:p w:rsidR="00C44384" w:rsidRPr="00C309E1" w:rsidRDefault="00C44384" w:rsidP="00C44384">
      <w:pPr>
        <w:spacing w:line="360" w:lineRule="auto"/>
        <w:jc w:val="both"/>
        <w:rPr>
          <w:vertAlign w:val="subscript"/>
        </w:rPr>
      </w:pPr>
      <w:r w:rsidRPr="00A562D5">
        <w:tab/>
        <w:t xml:space="preserve">A l’état solide, les n-alcanes se trouvent sous forme du seul isomère où la chaîne carbonée est plane et en </w:t>
      </w:r>
      <w:proofErr w:type="spellStart"/>
      <w:r w:rsidRPr="00A562D5">
        <w:t>zig-zag</w:t>
      </w:r>
      <w:proofErr w:type="spellEnd"/>
      <w:r w:rsidRPr="00A562D5">
        <w:t xml:space="preserve">. Par contre, à l’état liquide, il existe divers isomères de rotation ou </w:t>
      </w:r>
      <w:proofErr w:type="spellStart"/>
      <w:r>
        <w:t>rota</w:t>
      </w:r>
      <w:r w:rsidRPr="00A562D5">
        <w:t>mères</w:t>
      </w:r>
      <w:proofErr w:type="spellEnd"/>
      <w:r w:rsidRPr="00A562D5">
        <w:t>.</w:t>
      </w:r>
      <w:r>
        <w:t xml:space="preserve"> </w:t>
      </w:r>
      <w:r w:rsidRPr="00A562D5">
        <w:t>Ce problème ne sera pas étudié ici car les fréquences caractéristiques sont pratiquement insensibles à ce type d’isomérie</w:t>
      </w:r>
      <w:r>
        <w:t>.</w:t>
      </w:r>
    </w:p>
    <w:p w:rsidR="00C44384" w:rsidRPr="00A562D5" w:rsidRDefault="00C44384" w:rsidP="00C44384">
      <w:pPr>
        <w:spacing w:line="360" w:lineRule="auto"/>
        <w:jc w:val="both"/>
      </w:pPr>
      <w:r w:rsidRPr="00A562D5">
        <w:tab/>
        <w:t>Les spectres d’alcanes peuvent être interprétés en fonction de quatre vibrations, qui sont l’élongation et la déformation angulaire des liens C</w:t>
      </w:r>
      <w:r w:rsidRPr="00A562D5">
        <w:sym w:font="Symbol" w:char="F0BE"/>
      </w:r>
      <w:r w:rsidRPr="00A562D5">
        <w:t>H et C</w:t>
      </w:r>
      <w:r w:rsidRPr="00A562D5">
        <w:sym w:font="Symbol" w:char="F0BE"/>
      </w:r>
      <w:r w:rsidRPr="00A562D5">
        <w:t xml:space="preserve">C. </w:t>
      </w:r>
    </w:p>
    <w:p w:rsidR="00C44384" w:rsidRPr="00A562D5" w:rsidRDefault="00C44384" w:rsidP="00C44384">
      <w:pPr>
        <w:spacing w:line="360" w:lineRule="auto"/>
        <w:jc w:val="both"/>
      </w:pPr>
      <w:r w:rsidRPr="00A562D5">
        <w:tab/>
        <w:t>Toutes les fréquences d’absorption possibles d’une des molécules des alcanes normaux ne sont pas d’égale valeur dans l’attribution de la structure. Les vibrations de déformation angulaire du vibrateur C</w:t>
      </w:r>
      <w:r w:rsidRPr="00A562D5">
        <w:sym w:font="Symbol" w:char="F0BE"/>
      </w:r>
      <w:r w:rsidRPr="00A562D5">
        <w:t>C apparaissent à de très basses fréquences (au-dessous de 500 cm</w:t>
      </w:r>
      <w:r w:rsidRPr="00A562D5">
        <w:rPr>
          <w:vertAlign w:val="superscript"/>
        </w:rPr>
        <w:t>-1</w:t>
      </w:r>
      <w:r w:rsidRPr="00A562D5">
        <w:t>). Les bandes attribuées aux vibrations d’élongation du vibrateur C</w:t>
      </w:r>
      <w:r w:rsidRPr="00A562D5">
        <w:sym w:font="Symbol" w:char="F0BE"/>
      </w:r>
      <w:r w:rsidRPr="00A562D5">
        <w:t>C sont faibles et apparaissent entre 1200 et 800 cm</w:t>
      </w:r>
      <w:r>
        <w:rPr>
          <w:vertAlign w:val="superscript"/>
        </w:rPr>
        <w:t>-1</w:t>
      </w:r>
      <w:r>
        <w:t>.</w:t>
      </w:r>
      <w:r w:rsidRPr="002C3979">
        <w:rPr>
          <w:color w:val="000000"/>
        </w:rPr>
        <w:t xml:space="preserve"> Malheureusement, ces bandes ne sont pas très significatives et ne peuvent pas servir à une identification efficace du squelette carboné</w:t>
      </w:r>
    </w:p>
    <w:p w:rsidR="00C44384" w:rsidRPr="00A562D5" w:rsidRDefault="00C44384" w:rsidP="00C44384">
      <w:pPr>
        <w:spacing w:line="360" w:lineRule="auto"/>
        <w:jc w:val="both"/>
      </w:pPr>
      <w:r w:rsidRPr="00A562D5">
        <w:tab/>
        <w:t>Les vibrations les plus caractéristiques sont celles provenant des élongations et des déformations angulaires des vibrateurs C</w:t>
      </w:r>
      <w:r w:rsidRPr="00A562D5">
        <w:sym w:font="Symbol" w:char="F0BE"/>
      </w:r>
      <w:r w:rsidRPr="00A562D5">
        <w:t xml:space="preserve">H. Les vibrations provenant des torsions et des balancements hors du plan des méthylènes offrent peu d’intérêt pour le diagnostic à cause de leur faible intensité et de leur instabilité. Cette instabilité est le résultat d’un fort couplage avec le reste de la molécule. </w:t>
      </w:r>
    </w:p>
    <w:p w:rsidR="00C44384" w:rsidRPr="003357EF" w:rsidRDefault="00C44384" w:rsidP="002F0334">
      <w:pPr>
        <w:spacing w:after="240"/>
        <w:jc w:val="both"/>
      </w:pPr>
      <w:r w:rsidRPr="00314419">
        <w:rPr>
          <w:b/>
          <w:bCs/>
        </w:rPr>
        <w:lastRenderedPageBreak/>
        <w:t>I – 1 – 1 - Vibrations d’élongation des vibrateurs C</w:t>
      </w:r>
      <w:r w:rsidRPr="00314419">
        <w:rPr>
          <w:b/>
          <w:bCs/>
        </w:rPr>
        <w:sym w:font="Symbol" w:char="F0BE"/>
      </w:r>
      <w:r w:rsidRPr="00314419">
        <w:rPr>
          <w:b/>
          <w:bCs/>
        </w:rPr>
        <w:t>H</w:t>
      </w:r>
    </w:p>
    <w:p w:rsidR="00C44384" w:rsidRPr="00A562D5" w:rsidRDefault="00C44384" w:rsidP="002F0334">
      <w:pPr>
        <w:spacing w:after="240" w:line="360" w:lineRule="auto"/>
        <w:jc w:val="both"/>
      </w:pPr>
      <w:r w:rsidRPr="00A562D5">
        <w:tab/>
        <w:t xml:space="preserve"> </w:t>
      </w:r>
      <w:r w:rsidRPr="00EC73F7">
        <w:t>Les absorptions</w:t>
      </w:r>
      <w:r w:rsidRPr="00A562D5">
        <w:t xml:space="preserve"> pro</w:t>
      </w:r>
      <w:r>
        <w:t>venant des élongations des vibrateurs</w:t>
      </w:r>
      <w:r w:rsidRPr="00A562D5">
        <w:t xml:space="preserve"> C</w:t>
      </w:r>
      <w:r w:rsidRPr="00A562D5">
        <w:sym w:font="Symbol" w:char="F0BE"/>
      </w:r>
      <w:r w:rsidRPr="00A562D5">
        <w:t xml:space="preserve">H dans les alcanes </w:t>
      </w:r>
      <w:r w:rsidRPr="00EC73F7">
        <w:t>apparaît</w:t>
      </w:r>
      <w:r w:rsidRPr="00A562D5">
        <w:t xml:space="preserve"> entre 3000 et 2840 cm</w:t>
      </w:r>
      <w:r w:rsidRPr="00A562D5">
        <w:rPr>
          <w:vertAlign w:val="superscript"/>
        </w:rPr>
        <w:t>-1</w:t>
      </w:r>
      <w:r w:rsidRPr="00A562D5">
        <w:t xml:space="preserve">. </w:t>
      </w:r>
    </w:p>
    <w:p w:rsidR="00C44384" w:rsidRPr="00A562D5" w:rsidRDefault="00C44384" w:rsidP="00C44384">
      <w:pPr>
        <w:spacing w:line="360" w:lineRule="auto"/>
        <w:jc w:val="both"/>
      </w:pPr>
      <w:r w:rsidRPr="00A562D5">
        <w:t xml:space="preserve">LES GROUPES METHYLES : L’examen d’un grand nombre d’hydrocarbures saturés contenant des groupes méthyles </w:t>
      </w:r>
      <w:r>
        <w:t>a</w:t>
      </w:r>
      <w:r w:rsidRPr="00A562D5">
        <w:t xml:space="preserve"> montré, dans tous les cas, deux bandes distinctes apparaissant </w:t>
      </w:r>
      <w:r w:rsidRPr="00F9751E">
        <w:t>vers</w:t>
      </w:r>
      <w:r w:rsidRPr="00EC73F7">
        <w:t xml:space="preserve"> </w:t>
      </w:r>
      <w:r>
        <w:t>2960 et 2870</w:t>
      </w:r>
      <w:r w:rsidRPr="00FB557B">
        <w:rPr>
          <w:color w:val="FF0000"/>
        </w:rPr>
        <w:t xml:space="preserve"> </w:t>
      </w:r>
      <w:r w:rsidRPr="00A562D5">
        <w:t>cm</w:t>
      </w:r>
      <w:r w:rsidRPr="00A562D5">
        <w:rPr>
          <w:vertAlign w:val="superscript"/>
        </w:rPr>
        <w:t>-1</w:t>
      </w:r>
      <w:r w:rsidRPr="00A562D5">
        <w:t xml:space="preserve"> </w:t>
      </w:r>
      <w:r>
        <w:t xml:space="preserve">attribuées respectivement au </w:t>
      </w:r>
      <w:r w:rsidRPr="00A562D5">
        <w:t>m</w:t>
      </w:r>
      <w:r>
        <w:t>ode d’élongation asymétrique (a</w:t>
      </w:r>
      <w:r w:rsidRPr="00A562D5">
        <w:t xml:space="preserve">)  </w:t>
      </w:r>
      <w:r>
        <w:t xml:space="preserve">et </w:t>
      </w:r>
      <w:r w:rsidRPr="00A562D5">
        <w:t xml:space="preserve">symétrique (s) </w:t>
      </w:r>
      <w:r>
        <w:t xml:space="preserve">du groupement </w:t>
      </w:r>
      <w:r w:rsidRPr="00A562D5">
        <w:t xml:space="preserve"> CH</w:t>
      </w:r>
      <w:r w:rsidRPr="00A562D5">
        <w:rPr>
          <w:vertAlign w:val="subscript"/>
        </w:rPr>
        <w:t>3</w:t>
      </w:r>
      <w:r w:rsidRPr="00A562D5">
        <w:t>.</w:t>
      </w:r>
      <w:r>
        <w:t xml:space="preserve"> </w:t>
      </w:r>
      <w:r w:rsidRPr="00A562D5">
        <w:t>La présence de plusieurs groupes méthyles dans une molécule donne lieu à une forte absorption à ces positions</w:t>
      </w:r>
      <w:r>
        <w:t xml:space="preserve"> (figure 2)</w:t>
      </w:r>
      <w:r w:rsidRPr="00A562D5">
        <w:t>.</w:t>
      </w:r>
    </w:p>
    <w:p w:rsidR="00C44384" w:rsidRDefault="00C44384" w:rsidP="002F0334">
      <w:pPr>
        <w:spacing w:after="240" w:line="360" w:lineRule="auto"/>
        <w:jc w:val="both"/>
      </w:pPr>
      <w:r w:rsidRPr="00A562D5">
        <w:t>LES GROUPES METHYLENES</w:t>
      </w:r>
      <w:r>
        <w:t> :</w:t>
      </w:r>
      <w:r w:rsidRPr="00A562D5">
        <w:t xml:space="preserve"> Les </w:t>
      </w:r>
      <w:r>
        <w:t xml:space="preserve">vibrations </w:t>
      </w:r>
      <w:r w:rsidRPr="00A562D5">
        <w:t xml:space="preserve">asymétriques </w:t>
      </w:r>
      <w:r>
        <w:t xml:space="preserve">et symétriques du groupement </w:t>
      </w:r>
      <w:r w:rsidRPr="00A562D5">
        <w:t xml:space="preserve"> CH</w:t>
      </w:r>
      <w:r w:rsidRPr="00A562D5">
        <w:rPr>
          <w:vertAlign w:val="subscript"/>
        </w:rPr>
        <w:t>2</w:t>
      </w:r>
      <w:r w:rsidRPr="00A562D5">
        <w:t xml:space="preserve"> apparaissent respectivement vers </w:t>
      </w:r>
      <w:r>
        <w:t>2925</w:t>
      </w:r>
      <w:r w:rsidRPr="00EC73F7">
        <w:t xml:space="preserve"> et</w:t>
      </w:r>
      <w:r>
        <w:t xml:space="preserve"> 2850</w:t>
      </w:r>
      <w:r w:rsidRPr="00A562D5">
        <w:t xml:space="preserve"> cm</w:t>
      </w:r>
      <w:r w:rsidRPr="00A562D5">
        <w:rPr>
          <w:vertAlign w:val="superscript"/>
        </w:rPr>
        <w:t>-1</w:t>
      </w:r>
      <w:r w:rsidRPr="00A562D5">
        <w:t xml:space="preserve">. La position </w:t>
      </w:r>
      <w:r>
        <w:t>de ces bandes ne varie pas de</w:t>
      </w:r>
      <w:r w:rsidRPr="00A562D5">
        <w:t xml:space="preserve"> plus de 10 cm</w:t>
      </w:r>
      <w:r w:rsidRPr="00A562D5">
        <w:rPr>
          <w:vertAlign w:val="superscript"/>
        </w:rPr>
        <w:t>-1</w:t>
      </w:r>
      <w:r w:rsidRPr="00A562D5">
        <w:t xml:space="preserve"> dans les hydrocarbures aliphatiques et cycliques non-tendus. La fréquence d’élongation du méthylène augmente quand ce groupe fait partie d’un cycle tendu.</w:t>
      </w:r>
    </w:p>
    <w:p w:rsidR="00C44384" w:rsidRDefault="00C44384" w:rsidP="00C44384">
      <w:pPr>
        <w:spacing w:line="360" w:lineRule="auto"/>
        <w:jc w:val="both"/>
        <w:rPr>
          <w:b/>
          <w:bCs/>
        </w:rPr>
      </w:pPr>
      <w:r w:rsidRPr="00314419">
        <w:rPr>
          <w:b/>
          <w:bCs/>
        </w:rPr>
        <w:t>I – 1 - 2 - Vibrations de déformation angulaire des vibrateurs C-H</w:t>
      </w:r>
    </w:p>
    <w:p w:rsidR="00C44384" w:rsidRPr="00314419" w:rsidRDefault="00C44384" w:rsidP="00C44384">
      <w:pPr>
        <w:jc w:val="both"/>
        <w:rPr>
          <w:b/>
          <w:bCs/>
        </w:rPr>
      </w:pPr>
    </w:p>
    <w:p w:rsidR="00C44384" w:rsidRPr="002A6ED7" w:rsidRDefault="00C44384" w:rsidP="00C44384">
      <w:pPr>
        <w:spacing w:line="360" w:lineRule="auto"/>
        <w:jc w:val="both"/>
      </w:pPr>
      <w:r>
        <w:tab/>
        <w:t xml:space="preserve">Les vibrations de déformation symétrique </w:t>
      </w:r>
      <w:r>
        <w:sym w:font="Symbol" w:char="F064"/>
      </w:r>
      <w:r>
        <w:rPr>
          <w:vertAlign w:val="subscript"/>
        </w:rPr>
        <w:t>s</w:t>
      </w:r>
      <w:r>
        <w:t>CH</w:t>
      </w:r>
      <w:r>
        <w:rPr>
          <w:vertAlign w:val="subscript"/>
        </w:rPr>
        <w:t xml:space="preserve">3 </w:t>
      </w:r>
      <w:r>
        <w:t xml:space="preserve">et antisymétrique </w:t>
      </w:r>
      <w:r w:rsidRPr="00194AEE">
        <w:rPr>
          <w:lang w:val="pt-BR"/>
        </w:rPr>
        <w:sym w:font="Symbol" w:char="F064"/>
      </w:r>
      <w:r>
        <w:rPr>
          <w:vertAlign w:val="subscript"/>
        </w:rPr>
        <w:t>a</w:t>
      </w:r>
      <w:r w:rsidRPr="00194AEE">
        <w:t>CH</w:t>
      </w:r>
      <w:r>
        <w:rPr>
          <w:vertAlign w:val="subscript"/>
        </w:rPr>
        <w:t xml:space="preserve">3 </w:t>
      </w:r>
      <w:r>
        <w:t xml:space="preserve">du groupement  méthyle apparaissent respectivement vers 1375 et 1450 </w:t>
      </w:r>
      <w:r w:rsidRPr="00A562D5">
        <w:t>cm</w:t>
      </w:r>
      <w:r w:rsidRPr="00A562D5">
        <w:rPr>
          <w:vertAlign w:val="superscript"/>
        </w:rPr>
        <w:t>-1</w:t>
      </w:r>
      <w:r>
        <w:t xml:space="preserve">. Dans le cas du groupement  méthylène, la vibration de cisaillement </w:t>
      </w:r>
      <w:r>
        <w:sym w:font="Symbol" w:char="F064"/>
      </w:r>
      <w:r>
        <w:t>CH</w:t>
      </w:r>
      <w:r>
        <w:rPr>
          <w:vertAlign w:val="subscript"/>
        </w:rPr>
        <w:t xml:space="preserve">2 </w:t>
      </w:r>
      <w:r>
        <w:t xml:space="preserve">apparaît vers 1465 </w:t>
      </w:r>
      <w:r w:rsidRPr="00A562D5">
        <w:t>cm</w:t>
      </w:r>
      <w:r w:rsidRPr="00A562D5">
        <w:rPr>
          <w:vertAlign w:val="superscript"/>
        </w:rPr>
        <w:t>-1</w:t>
      </w:r>
      <w:r>
        <w:t>. L’absorption due à la rotation (</w:t>
      </w:r>
      <w:proofErr w:type="spellStart"/>
      <w:r>
        <w:t>rocking</w:t>
      </w:r>
      <w:proofErr w:type="spellEnd"/>
      <w:r>
        <w:t xml:space="preserve">) de ce groupement est située vers 720 </w:t>
      </w:r>
      <w:r w:rsidRPr="00A562D5">
        <w:t>cm</w:t>
      </w:r>
      <w:r w:rsidRPr="00A562D5">
        <w:rPr>
          <w:vertAlign w:val="superscript"/>
        </w:rPr>
        <w:t>-1</w:t>
      </w:r>
      <w:r>
        <w:t>. La bande des hydrocarbures, due aux vibrations de torsion et de balancement</w:t>
      </w:r>
      <w:r w:rsidRPr="00FB557B">
        <w:rPr>
          <w:color w:val="FF0000"/>
        </w:rPr>
        <w:t xml:space="preserve"> </w:t>
      </w:r>
      <w:r>
        <w:t xml:space="preserve">des méthylènes, s’observe dans la région comprise entre 1350 et 1150 </w:t>
      </w:r>
      <w:r w:rsidRPr="00A562D5">
        <w:t>cm</w:t>
      </w:r>
      <w:r w:rsidRPr="00A562D5">
        <w:rPr>
          <w:vertAlign w:val="superscript"/>
        </w:rPr>
        <w:t>-1</w:t>
      </w:r>
      <w:r>
        <w:t>.</w:t>
      </w:r>
    </w:p>
    <w:p w:rsidR="00C44384" w:rsidRDefault="00C44384" w:rsidP="00C44384">
      <w:pPr>
        <w:spacing w:line="360" w:lineRule="auto"/>
        <w:jc w:val="center"/>
      </w:pPr>
      <w:r>
        <w:rPr>
          <w:noProof/>
        </w:rPr>
        <w:drawing>
          <wp:inline distT="0" distB="0" distL="0" distR="0">
            <wp:extent cx="5467350" cy="2724150"/>
            <wp:effectExtent l="19050" t="0" r="0" b="0"/>
            <wp:docPr id="60" name="Imag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pic:cNvPicPr>
                      <a:picLocks noChangeAspect="1" noChangeArrowheads="1"/>
                    </pic:cNvPicPr>
                  </pic:nvPicPr>
                  <pic:blipFill>
                    <a:blip r:embed="rId38" cstate="print"/>
                    <a:srcRect/>
                    <a:stretch>
                      <a:fillRect/>
                    </a:stretch>
                  </pic:blipFill>
                  <pic:spPr bwMode="auto">
                    <a:xfrm>
                      <a:off x="0" y="0"/>
                      <a:ext cx="5467350" cy="2724150"/>
                    </a:xfrm>
                    <a:prstGeom prst="rect">
                      <a:avLst/>
                    </a:prstGeom>
                    <a:noFill/>
                    <a:ln w="9525">
                      <a:noFill/>
                      <a:miter lim="800000"/>
                      <a:headEnd/>
                      <a:tailEnd/>
                    </a:ln>
                  </pic:spPr>
                </pic:pic>
              </a:graphicData>
            </a:graphic>
          </wp:inline>
        </w:drawing>
      </w:r>
    </w:p>
    <w:p w:rsidR="00C44384" w:rsidRDefault="00C44384" w:rsidP="00C44384">
      <w:pPr>
        <w:spacing w:line="360" w:lineRule="auto"/>
        <w:jc w:val="center"/>
        <w:rPr>
          <w:b/>
          <w:bCs/>
        </w:rPr>
      </w:pPr>
      <w:r w:rsidRPr="001510DC">
        <w:rPr>
          <w:b/>
          <w:bCs/>
        </w:rPr>
        <w:t>Figure 1 :</w:t>
      </w:r>
      <w:r>
        <w:rPr>
          <w:b/>
          <w:bCs/>
        </w:rPr>
        <w:t xml:space="preserve"> Spectre IR du </w:t>
      </w:r>
      <w:proofErr w:type="spellStart"/>
      <w:r>
        <w:rPr>
          <w:b/>
          <w:bCs/>
        </w:rPr>
        <w:t>hexadéc</w:t>
      </w:r>
      <w:r w:rsidRPr="001510DC">
        <w:rPr>
          <w:b/>
          <w:bCs/>
        </w:rPr>
        <w:t>ane</w:t>
      </w:r>
      <w:proofErr w:type="spellEnd"/>
    </w:p>
    <w:p w:rsidR="00C44384" w:rsidRPr="00194AEE" w:rsidRDefault="00C44384" w:rsidP="00C44384">
      <w:pPr>
        <w:spacing w:line="360" w:lineRule="auto"/>
        <w:rPr>
          <w:vertAlign w:val="subscript"/>
        </w:rPr>
      </w:pPr>
      <w:r w:rsidRPr="00194AEE">
        <w:lastRenderedPageBreak/>
        <w:t>A .l’élongation C-H : 2962 cm</w:t>
      </w:r>
      <w:r w:rsidRPr="00194AEE">
        <w:rPr>
          <w:vertAlign w:val="superscript"/>
        </w:rPr>
        <w:t>-1</w:t>
      </w:r>
      <w:r w:rsidRPr="00194AEE">
        <w:t xml:space="preserve"> </w:t>
      </w:r>
      <w:r w:rsidRPr="00194AEE">
        <w:rPr>
          <w:lang w:val="pt-BR"/>
        </w:rPr>
        <w:sym w:font="Symbol" w:char="F06E"/>
      </w:r>
      <w:r w:rsidRPr="00194AEE">
        <w:rPr>
          <w:vertAlign w:val="subscript"/>
        </w:rPr>
        <w:t>a</w:t>
      </w:r>
      <w:r w:rsidRPr="00194AEE">
        <w:t xml:space="preserve"> CH</w:t>
      </w:r>
      <w:r w:rsidRPr="00194AEE">
        <w:rPr>
          <w:vertAlign w:val="subscript"/>
        </w:rPr>
        <w:t>3</w:t>
      </w:r>
      <w:r w:rsidRPr="00194AEE">
        <w:t>, 2872 cm</w:t>
      </w:r>
      <w:r w:rsidRPr="00194AEE">
        <w:rPr>
          <w:vertAlign w:val="superscript"/>
        </w:rPr>
        <w:t>-1</w:t>
      </w:r>
      <w:r w:rsidRPr="00194AEE">
        <w:t xml:space="preserve"> </w:t>
      </w:r>
      <w:r w:rsidRPr="00194AEE">
        <w:rPr>
          <w:lang w:val="pt-BR"/>
        </w:rPr>
        <w:sym w:font="Symbol" w:char="F06E"/>
      </w:r>
      <w:r w:rsidRPr="00194AEE">
        <w:rPr>
          <w:vertAlign w:val="subscript"/>
        </w:rPr>
        <w:t>s</w:t>
      </w:r>
      <w:r w:rsidRPr="00194AEE">
        <w:t xml:space="preserve"> CH</w:t>
      </w:r>
      <w:r w:rsidRPr="00194AEE">
        <w:rPr>
          <w:vertAlign w:val="subscript"/>
        </w:rPr>
        <w:t>3</w:t>
      </w:r>
      <w:r w:rsidRPr="00194AEE">
        <w:t>, 2924cm</w:t>
      </w:r>
      <w:r w:rsidRPr="00194AEE">
        <w:rPr>
          <w:vertAlign w:val="superscript"/>
        </w:rPr>
        <w:t>-1</w:t>
      </w:r>
      <w:r w:rsidRPr="00194AEE">
        <w:t xml:space="preserve"> </w:t>
      </w:r>
      <w:r w:rsidRPr="00194AEE">
        <w:rPr>
          <w:lang w:val="pt-BR"/>
        </w:rPr>
        <w:sym w:font="Symbol" w:char="F06E"/>
      </w:r>
      <w:r w:rsidRPr="00194AEE">
        <w:rPr>
          <w:vertAlign w:val="subscript"/>
        </w:rPr>
        <w:t>a</w:t>
      </w:r>
      <w:r w:rsidRPr="00194AEE">
        <w:t xml:space="preserve"> CH</w:t>
      </w:r>
      <w:r w:rsidRPr="00194AEE">
        <w:rPr>
          <w:vertAlign w:val="subscript"/>
        </w:rPr>
        <w:t>2</w:t>
      </w:r>
      <w:r w:rsidRPr="00194AEE">
        <w:t>, 2853 cm</w:t>
      </w:r>
      <w:r w:rsidRPr="00194AEE">
        <w:rPr>
          <w:vertAlign w:val="superscript"/>
        </w:rPr>
        <w:t>-1</w:t>
      </w:r>
      <w:r w:rsidRPr="00194AEE">
        <w:t xml:space="preserve"> </w:t>
      </w:r>
      <w:r w:rsidRPr="00194AEE">
        <w:rPr>
          <w:lang w:val="pt-BR"/>
        </w:rPr>
        <w:sym w:font="Symbol" w:char="F06E"/>
      </w:r>
      <w:r w:rsidRPr="00194AEE">
        <w:rPr>
          <w:vertAlign w:val="subscript"/>
        </w:rPr>
        <w:t>s</w:t>
      </w:r>
      <w:r w:rsidRPr="00194AEE">
        <w:t xml:space="preserve"> CH</w:t>
      </w:r>
      <w:r w:rsidRPr="00194AEE">
        <w:rPr>
          <w:vertAlign w:val="subscript"/>
        </w:rPr>
        <w:t>2</w:t>
      </w:r>
      <w:r w:rsidRPr="00194AEE">
        <w:t xml:space="preserve">. B. La déformation angulaire </w:t>
      </w:r>
      <w:r>
        <w:t xml:space="preserve">C-H : 1467 </w:t>
      </w:r>
      <w:r w:rsidRPr="00194AEE">
        <w:t>cm</w:t>
      </w:r>
      <w:r w:rsidRPr="00194AEE">
        <w:rPr>
          <w:vertAlign w:val="superscript"/>
        </w:rPr>
        <w:t>-1</w:t>
      </w:r>
      <w:r>
        <w:rPr>
          <w:vertAlign w:val="superscript"/>
        </w:rPr>
        <w:t xml:space="preserve"> </w:t>
      </w:r>
      <w:r w:rsidRPr="00194AEE">
        <w:rPr>
          <w:lang w:val="pt-BR"/>
        </w:rPr>
        <w:sym w:font="Symbol" w:char="F064"/>
      </w:r>
      <w:r w:rsidRPr="00194AEE">
        <w:t xml:space="preserve"> CH</w:t>
      </w:r>
      <w:r w:rsidRPr="00194AEE">
        <w:rPr>
          <w:vertAlign w:val="subscript"/>
        </w:rPr>
        <w:t>2</w:t>
      </w:r>
      <w:r>
        <w:t xml:space="preserve">, 1450 </w:t>
      </w:r>
      <w:r w:rsidRPr="00194AEE">
        <w:t>cm</w:t>
      </w:r>
      <w:r w:rsidRPr="00194AEE">
        <w:rPr>
          <w:vertAlign w:val="superscript"/>
        </w:rPr>
        <w:t>-1</w:t>
      </w:r>
      <w:r w:rsidRPr="00194AEE">
        <w:t xml:space="preserve"> </w:t>
      </w:r>
      <w:r w:rsidRPr="00194AEE">
        <w:rPr>
          <w:lang w:val="pt-BR"/>
        </w:rPr>
        <w:sym w:font="Symbol" w:char="F064"/>
      </w:r>
      <w:r>
        <w:rPr>
          <w:vertAlign w:val="subscript"/>
        </w:rPr>
        <w:t>a</w:t>
      </w:r>
      <w:r w:rsidRPr="00194AEE">
        <w:t xml:space="preserve"> CH</w:t>
      </w:r>
      <w:r>
        <w:rPr>
          <w:vertAlign w:val="subscript"/>
        </w:rPr>
        <w:t>3</w:t>
      </w:r>
      <w:r w:rsidRPr="00194AEE">
        <w:t>,</w:t>
      </w:r>
      <w:r>
        <w:t xml:space="preserve"> 1378 </w:t>
      </w:r>
      <w:r w:rsidRPr="00194AEE">
        <w:t>cm</w:t>
      </w:r>
      <w:r w:rsidRPr="00194AEE">
        <w:rPr>
          <w:vertAlign w:val="superscript"/>
        </w:rPr>
        <w:t>-1</w:t>
      </w:r>
      <w:r>
        <w:t xml:space="preserve"> </w:t>
      </w:r>
      <w:r w:rsidRPr="00194AEE">
        <w:rPr>
          <w:lang w:val="pt-BR"/>
        </w:rPr>
        <w:sym w:font="Symbol" w:char="F064"/>
      </w:r>
      <w:r w:rsidRPr="00194AEE">
        <w:rPr>
          <w:vertAlign w:val="subscript"/>
        </w:rPr>
        <w:t>s</w:t>
      </w:r>
      <w:r w:rsidRPr="00194AEE">
        <w:t xml:space="preserve"> CH</w:t>
      </w:r>
      <w:r>
        <w:rPr>
          <w:vertAlign w:val="subscript"/>
        </w:rPr>
        <w:t>3</w:t>
      </w:r>
      <w:r>
        <w:t>. C. La rotation de CH</w:t>
      </w:r>
      <w:r>
        <w:rPr>
          <w:vertAlign w:val="subscript"/>
        </w:rPr>
        <w:t>2 </w:t>
      </w:r>
      <w:r>
        <w:t>: 721 cm</w:t>
      </w:r>
      <w:r>
        <w:rPr>
          <w:vertAlign w:val="superscript"/>
        </w:rPr>
        <w:t xml:space="preserve">-1 </w:t>
      </w:r>
      <w:r>
        <w:t>r CH</w:t>
      </w:r>
      <w:r>
        <w:rPr>
          <w:vertAlign w:val="subscript"/>
        </w:rPr>
        <w:t xml:space="preserve">2                     </w:t>
      </w:r>
    </w:p>
    <w:p w:rsidR="00C44384" w:rsidRPr="009C4255" w:rsidRDefault="00C44384" w:rsidP="00C44384">
      <w:pPr>
        <w:jc w:val="both"/>
      </w:pPr>
    </w:p>
    <w:p w:rsidR="00C44384" w:rsidRDefault="00C44384" w:rsidP="00C44384">
      <w:pPr>
        <w:spacing w:line="360" w:lineRule="auto"/>
        <w:jc w:val="both"/>
        <w:rPr>
          <w:b/>
          <w:bCs/>
          <w:sz w:val="28"/>
          <w:szCs w:val="28"/>
        </w:rPr>
      </w:pPr>
      <w:r w:rsidRPr="00314419">
        <w:rPr>
          <w:b/>
          <w:bCs/>
          <w:sz w:val="28"/>
          <w:szCs w:val="28"/>
        </w:rPr>
        <w:t>I – 2 - Les alcanes ramifiés</w:t>
      </w:r>
      <w:r w:rsidRPr="00314419">
        <w:rPr>
          <w:b/>
          <w:bCs/>
          <w:sz w:val="28"/>
          <w:szCs w:val="28"/>
        </w:rPr>
        <w:tab/>
      </w:r>
    </w:p>
    <w:p w:rsidR="00C44384" w:rsidRPr="00314419" w:rsidRDefault="00C44384" w:rsidP="00C44384">
      <w:pPr>
        <w:jc w:val="both"/>
        <w:rPr>
          <w:b/>
          <w:bCs/>
        </w:rPr>
      </w:pPr>
    </w:p>
    <w:p w:rsidR="00C44384" w:rsidRDefault="00C44384" w:rsidP="00C44384">
      <w:pPr>
        <w:spacing w:line="360" w:lineRule="auto"/>
        <w:jc w:val="both"/>
      </w:pPr>
      <w:r>
        <w:tab/>
        <w:t>Les ramifications sont caractérisées par certaines fréquences de vibration du squelette.</w:t>
      </w:r>
    </w:p>
    <w:p w:rsidR="00C44384" w:rsidRDefault="00C44384" w:rsidP="00C44384">
      <w:pPr>
        <w:spacing w:line="360" w:lineRule="auto"/>
        <w:jc w:val="both"/>
      </w:pPr>
      <w:r>
        <w:t xml:space="preserve">L’absorption très faible résultant du mode de vibration de valence du groupe C-H tertiaire apparaît vers 2890 </w:t>
      </w:r>
      <w:r w:rsidRPr="00A562D5">
        <w:t>cm</w:t>
      </w:r>
      <w:r w:rsidRPr="00A562D5">
        <w:rPr>
          <w:vertAlign w:val="superscript"/>
        </w:rPr>
        <w:t>-1</w:t>
      </w:r>
      <w:r>
        <w:t>.</w:t>
      </w:r>
    </w:p>
    <w:p w:rsidR="00C44384" w:rsidRPr="00D91629" w:rsidRDefault="00C44384" w:rsidP="00C44384">
      <w:pPr>
        <w:spacing w:line="360" w:lineRule="auto"/>
        <w:jc w:val="both"/>
      </w:pPr>
      <w:r>
        <w:tab/>
        <w:t xml:space="preserve">La vibration de déformation du vibrateur C-H d’un groupe </w:t>
      </w:r>
      <w:proofErr w:type="spellStart"/>
      <w:r>
        <w:t>isopropyle</w:t>
      </w:r>
      <w:proofErr w:type="spellEnd"/>
      <w:r>
        <w:t xml:space="preserve"> apparaît sous forme de doublet de forte intensité vers 1380 et 1365 </w:t>
      </w:r>
      <w:r w:rsidRPr="00A562D5">
        <w:t>cm</w:t>
      </w:r>
      <w:r w:rsidRPr="00A562D5">
        <w:rPr>
          <w:vertAlign w:val="superscript"/>
        </w:rPr>
        <w:t>-1</w:t>
      </w:r>
      <w:r>
        <w:t xml:space="preserve">. Le groupe ter-butyle donne lieu à deux bandes de déformation C-H vers 1390 et 1370 </w:t>
      </w:r>
      <w:r w:rsidRPr="00A562D5">
        <w:t>cm</w:t>
      </w:r>
      <w:r w:rsidRPr="00A562D5">
        <w:rPr>
          <w:vertAlign w:val="superscript"/>
        </w:rPr>
        <w:t>-1</w:t>
      </w:r>
      <w:r>
        <w:t>.</w:t>
      </w:r>
    </w:p>
    <w:p w:rsidR="00C44384" w:rsidRDefault="00C44384" w:rsidP="002F0334">
      <w:pPr>
        <w:spacing w:line="360" w:lineRule="auto"/>
        <w:jc w:val="both"/>
      </w:pPr>
      <w:r>
        <w:tab/>
        <w:t xml:space="preserve">De faibles bandes résultent du balancement des méthyles des groupes </w:t>
      </w:r>
      <w:proofErr w:type="spellStart"/>
      <w:r>
        <w:t>isopropyle</w:t>
      </w:r>
      <w:proofErr w:type="spellEnd"/>
      <w:r>
        <w:t xml:space="preserve"> et ter-butyle. Ces vibrations sont moins fiables que les vibrations de déformation des vibrateurs C-H.</w:t>
      </w:r>
    </w:p>
    <w:p w:rsidR="00C44384" w:rsidRDefault="00C44384" w:rsidP="00C44384">
      <w:pPr>
        <w:spacing w:line="360" w:lineRule="auto"/>
        <w:jc w:val="center"/>
      </w:pPr>
      <w:r>
        <w:rPr>
          <w:noProof/>
        </w:rPr>
        <w:drawing>
          <wp:inline distT="0" distB="0" distL="0" distR="0">
            <wp:extent cx="4886325" cy="2562225"/>
            <wp:effectExtent l="19050" t="0" r="9525" b="0"/>
            <wp:docPr id="61" name="Imag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pic:cNvPicPr>
                      <a:picLocks noChangeAspect="1" noChangeArrowheads="1"/>
                    </pic:cNvPicPr>
                  </pic:nvPicPr>
                  <pic:blipFill>
                    <a:blip r:embed="rId39" cstate="print"/>
                    <a:srcRect/>
                    <a:stretch>
                      <a:fillRect/>
                    </a:stretch>
                  </pic:blipFill>
                  <pic:spPr bwMode="auto">
                    <a:xfrm>
                      <a:off x="0" y="0"/>
                      <a:ext cx="4886325" cy="2562225"/>
                    </a:xfrm>
                    <a:prstGeom prst="rect">
                      <a:avLst/>
                    </a:prstGeom>
                    <a:noFill/>
                    <a:ln w="9525">
                      <a:noFill/>
                      <a:miter lim="800000"/>
                      <a:headEnd/>
                      <a:tailEnd/>
                    </a:ln>
                  </pic:spPr>
                </pic:pic>
              </a:graphicData>
            </a:graphic>
          </wp:inline>
        </w:drawing>
      </w:r>
    </w:p>
    <w:p w:rsidR="00C44384" w:rsidRPr="001510DC" w:rsidRDefault="00C44384" w:rsidP="00C44384">
      <w:pPr>
        <w:spacing w:line="360" w:lineRule="auto"/>
        <w:jc w:val="center"/>
        <w:rPr>
          <w:b/>
          <w:bCs/>
        </w:rPr>
      </w:pPr>
      <w:r w:rsidRPr="001510DC">
        <w:rPr>
          <w:b/>
          <w:bCs/>
        </w:rPr>
        <w:t>Figure 2 : Spectre IR du 2</w:t>
      </w:r>
      <w:proofErr w:type="gramStart"/>
      <w:r w:rsidRPr="001510DC">
        <w:rPr>
          <w:b/>
          <w:bCs/>
        </w:rPr>
        <w:t>,2,4</w:t>
      </w:r>
      <w:proofErr w:type="gramEnd"/>
      <w:r w:rsidRPr="001510DC">
        <w:rPr>
          <w:b/>
          <w:bCs/>
        </w:rPr>
        <w:t xml:space="preserve">- </w:t>
      </w:r>
      <w:proofErr w:type="spellStart"/>
      <w:r w:rsidRPr="001510DC">
        <w:rPr>
          <w:b/>
          <w:bCs/>
        </w:rPr>
        <w:t>triméthyl</w:t>
      </w:r>
      <w:proofErr w:type="spellEnd"/>
      <w:r w:rsidRPr="001510DC">
        <w:rPr>
          <w:b/>
          <w:bCs/>
        </w:rPr>
        <w:t>-pentane</w:t>
      </w:r>
    </w:p>
    <w:p w:rsidR="00C44384" w:rsidRDefault="00C44384" w:rsidP="00C44384">
      <w:pPr>
        <w:jc w:val="center"/>
      </w:pPr>
    </w:p>
    <w:p w:rsidR="00C44384" w:rsidRDefault="00C44384" w:rsidP="00C44384">
      <w:pPr>
        <w:spacing w:line="360" w:lineRule="auto"/>
        <w:jc w:val="both"/>
        <w:rPr>
          <w:b/>
          <w:bCs/>
          <w:sz w:val="28"/>
          <w:szCs w:val="28"/>
        </w:rPr>
      </w:pPr>
      <w:r w:rsidRPr="00314419">
        <w:rPr>
          <w:b/>
          <w:bCs/>
          <w:sz w:val="28"/>
          <w:szCs w:val="28"/>
        </w:rPr>
        <w:t>I – 3 - Les alcanes cycliques</w:t>
      </w:r>
    </w:p>
    <w:p w:rsidR="00C44384" w:rsidRPr="00314419" w:rsidRDefault="00C44384" w:rsidP="00C44384">
      <w:pPr>
        <w:jc w:val="both"/>
        <w:rPr>
          <w:b/>
          <w:bCs/>
          <w:sz w:val="28"/>
          <w:szCs w:val="28"/>
        </w:rPr>
      </w:pPr>
    </w:p>
    <w:p w:rsidR="00C44384" w:rsidRDefault="00C44384" w:rsidP="00C44384">
      <w:pPr>
        <w:spacing w:line="360" w:lineRule="auto"/>
        <w:jc w:val="both"/>
      </w:pPr>
      <w:r>
        <w:tab/>
        <w:t>Lorsque le cycle n’est pas tendu, les fréquences des vibrations de valence et de déformation C-H sont sensiblement les mêmes que pour les alcanes.</w:t>
      </w:r>
    </w:p>
    <w:p w:rsidR="00C44384" w:rsidRDefault="00C44384" w:rsidP="002F0334">
      <w:pPr>
        <w:spacing w:line="360" w:lineRule="auto"/>
        <w:jc w:val="both"/>
      </w:pPr>
      <w:r>
        <w:tab/>
        <w:t xml:space="preserve">Dans </w:t>
      </w:r>
      <w:proofErr w:type="gramStart"/>
      <w:r>
        <w:t>les petit cycles</w:t>
      </w:r>
      <w:proofErr w:type="gramEnd"/>
      <w:r>
        <w:t xml:space="preserve"> (tableau 1), on observe une élévation marquée des fréquences </w:t>
      </w:r>
      <w:r>
        <w:sym w:font="Symbol" w:char="F06E"/>
      </w:r>
      <w:r>
        <w:t xml:space="preserve">CH due à l’accroissement de la constante de force. Les fréquences </w:t>
      </w:r>
      <w:r>
        <w:sym w:font="Symbol" w:char="F064"/>
      </w:r>
      <w:r>
        <w:rPr>
          <w:vertAlign w:val="subscript"/>
        </w:rPr>
        <w:t>s</w:t>
      </w:r>
      <w:r>
        <w:t>CH</w:t>
      </w:r>
      <w:r>
        <w:rPr>
          <w:vertAlign w:val="subscript"/>
        </w:rPr>
        <w:t xml:space="preserve">2 </w:t>
      </w:r>
      <w:r>
        <w:t xml:space="preserve">demeurent dans une zone étroite (1430-1470 </w:t>
      </w:r>
      <w:r w:rsidRPr="00A562D5">
        <w:t>cm</w:t>
      </w:r>
      <w:r w:rsidRPr="00A562D5">
        <w:rPr>
          <w:vertAlign w:val="superscript"/>
        </w:rPr>
        <w:t>-1</w:t>
      </w:r>
      <w: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070"/>
        <w:gridCol w:w="3071"/>
        <w:gridCol w:w="3071"/>
      </w:tblGrid>
      <w:tr w:rsidR="00C44384" w:rsidTr="00AA32EE">
        <w:tc>
          <w:tcPr>
            <w:tcW w:w="3070" w:type="dxa"/>
          </w:tcPr>
          <w:p w:rsidR="00C44384" w:rsidRDefault="00C44384" w:rsidP="00AA32EE">
            <w:pPr>
              <w:spacing w:line="360" w:lineRule="auto"/>
              <w:jc w:val="center"/>
            </w:pPr>
            <w:r>
              <w:lastRenderedPageBreak/>
              <w:t xml:space="preserve">Cycle </w:t>
            </w:r>
          </w:p>
        </w:tc>
        <w:tc>
          <w:tcPr>
            <w:tcW w:w="3071" w:type="dxa"/>
          </w:tcPr>
          <w:p w:rsidR="00C44384" w:rsidRPr="00D54810" w:rsidRDefault="00C44384" w:rsidP="00AA32EE">
            <w:pPr>
              <w:spacing w:line="360" w:lineRule="auto"/>
              <w:jc w:val="center"/>
              <w:rPr>
                <w:vertAlign w:val="subscript"/>
              </w:rPr>
            </w:pPr>
            <w:r w:rsidRPr="00D54810">
              <w:sym w:font="Symbol" w:char="F06E"/>
            </w:r>
            <w:r w:rsidRPr="00D54810">
              <w:rPr>
                <w:vertAlign w:val="subscript"/>
              </w:rPr>
              <w:t>a</w:t>
            </w:r>
            <w:r>
              <w:t>CH</w:t>
            </w:r>
            <w:r w:rsidRPr="00D54810">
              <w:rPr>
                <w:vertAlign w:val="subscript"/>
              </w:rPr>
              <w:t>2</w:t>
            </w:r>
          </w:p>
        </w:tc>
        <w:tc>
          <w:tcPr>
            <w:tcW w:w="3071" w:type="dxa"/>
          </w:tcPr>
          <w:p w:rsidR="00C44384" w:rsidRDefault="00C44384" w:rsidP="00AA32EE">
            <w:pPr>
              <w:spacing w:line="360" w:lineRule="auto"/>
              <w:jc w:val="center"/>
            </w:pPr>
            <w:r w:rsidRPr="00D54810">
              <w:sym w:font="Symbol" w:char="F06E"/>
            </w:r>
            <w:r w:rsidRPr="00D54810">
              <w:rPr>
                <w:vertAlign w:val="subscript"/>
              </w:rPr>
              <w:t>s</w:t>
            </w:r>
            <w:r>
              <w:t>CH</w:t>
            </w:r>
            <w:r w:rsidRPr="00D54810">
              <w:rPr>
                <w:vertAlign w:val="subscript"/>
              </w:rPr>
              <w:t>2</w:t>
            </w:r>
          </w:p>
        </w:tc>
      </w:tr>
      <w:tr w:rsidR="00C44384" w:rsidTr="00AA32EE">
        <w:tc>
          <w:tcPr>
            <w:tcW w:w="3070" w:type="dxa"/>
          </w:tcPr>
          <w:p w:rsidR="00C44384" w:rsidRPr="00D54810" w:rsidRDefault="00C44384" w:rsidP="00AA32EE">
            <w:pPr>
              <w:spacing w:line="360" w:lineRule="auto"/>
              <w:jc w:val="center"/>
              <w:rPr>
                <w:vertAlign w:val="subscript"/>
              </w:rPr>
            </w:pPr>
            <w:r>
              <w:t>C</w:t>
            </w:r>
            <w:r w:rsidRPr="00D54810">
              <w:rPr>
                <w:vertAlign w:val="subscript"/>
              </w:rPr>
              <w:t>3</w:t>
            </w:r>
          </w:p>
          <w:p w:rsidR="00C44384" w:rsidRPr="00D54810" w:rsidRDefault="00C44384" w:rsidP="00AA32EE">
            <w:pPr>
              <w:spacing w:line="360" w:lineRule="auto"/>
              <w:jc w:val="center"/>
              <w:rPr>
                <w:vertAlign w:val="subscript"/>
              </w:rPr>
            </w:pPr>
            <w:r>
              <w:t>C</w:t>
            </w:r>
            <w:r w:rsidRPr="00D54810">
              <w:rPr>
                <w:vertAlign w:val="subscript"/>
              </w:rPr>
              <w:t>4</w:t>
            </w:r>
          </w:p>
          <w:p w:rsidR="00C44384" w:rsidRPr="00D54810" w:rsidRDefault="00C44384" w:rsidP="00AA32EE">
            <w:pPr>
              <w:spacing w:line="360" w:lineRule="auto"/>
              <w:jc w:val="center"/>
              <w:rPr>
                <w:vertAlign w:val="subscript"/>
              </w:rPr>
            </w:pPr>
            <w:r>
              <w:t>C</w:t>
            </w:r>
            <w:r w:rsidRPr="00D54810">
              <w:rPr>
                <w:vertAlign w:val="subscript"/>
              </w:rPr>
              <w:t>5</w:t>
            </w:r>
          </w:p>
        </w:tc>
        <w:tc>
          <w:tcPr>
            <w:tcW w:w="3071" w:type="dxa"/>
          </w:tcPr>
          <w:p w:rsidR="00C44384" w:rsidRDefault="00C44384" w:rsidP="00AA32EE">
            <w:pPr>
              <w:spacing w:line="360" w:lineRule="auto"/>
              <w:jc w:val="center"/>
            </w:pPr>
            <w:r>
              <w:t>3100-3075</w:t>
            </w:r>
          </w:p>
          <w:p w:rsidR="00C44384" w:rsidRDefault="00C44384" w:rsidP="00AA32EE">
            <w:pPr>
              <w:spacing w:line="360" w:lineRule="auto"/>
              <w:jc w:val="center"/>
            </w:pPr>
            <w:r>
              <w:t>2890-2960</w:t>
            </w:r>
          </w:p>
          <w:p w:rsidR="00C44384" w:rsidRDefault="00C44384" w:rsidP="00AA32EE">
            <w:pPr>
              <w:spacing w:line="360" w:lineRule="auto"/>
              <w:jc w:val="center"/>
            </w:pPr>
            <w:r>
              <w:t>2970-2950</w:t>
            </w:r>
          </w:p>
        </w:tc>
        <w:tc>
          <w:tcPr>
            <w:tcW w:w="3071" w:type="dxa"/>
          </w:tcPr>
          <w:p w:rsidR="00C44384" w:rsidRDefault="00C44384" w:rsidP="00AA32EE">
            <w:pPr>
              <w:spacing w:line="360" w:lineRule="auto"/>
              <w:jc w:val="center"/>
            </w:pPr>
            <w:r>
              <w:t>3035-3000</w:t>
            </w:r>
          </w:p>
          <w:p w:rsidR="00C44384" w:rsidRDefault="00C44384" w:rsidP="00AA32EE">
            <w:pPr>
              <w:spacing w:line="360" w:lineRule="auto"/>
              <w:jc w:val="center"/>
            </w:pPr>
            <w:r>
              <w:t>2920-2870</w:t>
            </w:r>
          </w:p>
          <w:p w:rsidR="00C44384" w:rsidRDefault="00C44384" w:rsidP="00AA32EE">
            <w:pPr>
              <w:spacing w:line="360" w:lineRule="auto"/>
              <w:jc w:val="center"/>
            </w:pPr>
            <w:r>
              <w:t>2865-2850</w:t>
            </w:r>
          </w:p>
        </w:tc>
      </w:tr>
    </w:tbl>
    <w:p w:rsidR="00C44384" w:rsidRDefault="00C44384" w:rsidP="00C44384">
      <w:pPr>
        <w:spacing w:line="360" w:lineRule="auto"/>
        <w:jc w:val="center"/>
        <w:rPr>
          <w:b/>
          <w:bCs/>
        </w:rPr>
      </w:pPr>
    </w:p>
    <w:p w:rsidR="002F0334" w:rsidRPr="002F0334" w:rsidRDefault="00C44384" w:rsidP="002F0334">
      <w:pPr>
        <w:spacing w:line="360" w:lineRule="auto"/>
        <w:jc w:val="center"/>
        <w:rPr>
          <w:b/>
          <w:bCs/>
        </w:rPr>
      </w:pPr>
      <w:r w:rsidRPr="00CA194C">
        <w:rPr>
          <w:b/>
          <w:bCs/>
        </w:rPr>
        <w:t>Tableau </w:t>
      </w:r>
      <w:r>
        <w:rPr>
          <w:b/>
          <w:bCs/>
        </w:rPr>
        <w:t xml:space="preserve">1 </w:t>
      </w:r>
      <w:r w:rsidRPr="00CA194C">
        <w:rPr>
          <w:b/>
          <w:bCs/>
        </w:rPr>
        <w:t xml:space="preserve">: Fréquences </w:t>
      </w:r>
      <w:r w:rsidRPr="00CA194C">
        <w:rPr>
          <w:b/>
          <w:bCs/>
        </w:rPr>
        <w:sym w:font="Symbol" w:char="F06E"/>
      </w:r>
      <w:r w:rsidRPr="00CA194C">
        <w:rPr>
          <w:b/>
          <w:bCs/>
          <w:vertAlign w:val="subscript"/>
        </w:rPr>
        <w:t>a</w:t>
      </w:r>
      <w:r w:rsidRPr="00CA194C">
        <w:rPr>
          <w:b/>
          <w:bCs/>
        </w:rPr>
        <w:t>CH</w:t>
      </w:r>
      <w:r w:rsidRPr="00CA194C">
        <w:rPr>
          <w:b/>
          <w:bCs/>
          <w:vertAlign w:val="subscript"/>
        </w:rPr>
        <w:t>2</w:t>
      </w:r>
      <w:r w:rsidRPr="00CA194C">
        <w:rPr>
          <w:b/>
          <w:bCs/>
        </w:rPr>
        <w:t xml:space="preserve"> et </w:t>
      </w:r>
      <w:r w:rsidRPr="00CA194C">
        <w:rPr>
          <w:b/>
          <w:bCs/>
        </w:rPr>
        <w:sym w:font="Symbol" w:char="F06E"/>
      </w:r>
      <w:r w:rsidRPr="00CA194C">
        <w:rPr>
          <w:b/>
          <w:bCs/>
          <w:vertAlign w:val="subscript"/>
        </w:rPr>
        <w:t>s</w:t>
      </w:r>
      <w:r w:rsidRPr="00CA194C">
        <w:rPr>
          <w:b/>
          <w:bCs/>
        </w:rPr>
        <w:t>CH</w:t>
      </w:r>
      <w:r w:rsidRPr="00CA194C">
        <w:rPr>
          <w:b/>
          <w:bCs/>
          <w:vertAlign w:val="subscript"/>
        </w:rPr>
        <w:t>2</w:t>
      </w:r>
      <w:r w:rsidRPr="00CA194C">
        <w:rPr>
          <w:b/>
          <w:bCs/>
        </w:rPr>
        <w:t xml:space="preserve"> des dérivés des premiers </w:t>
      </w:r>
      <w:proofErr w:type="spellStart"/>
      <w:r w:rsidRPr="00CA194C">
        <w:rPr>
          <w:b/>
          <w:bCs/>
        </w:rPr>
        <w:t>cycloalcanes</w:t>
      </w:r>
      <w:proofErr w:type="spellEnd"/>
      <w:r w:rsidRPr="00CA194C">
        <w:rPr>
          <w:b/>
          <w:bCs/>
        </w:rPr>
        <w:t xml:space="preserve"> (cm</w:t>
      </w:r>
      <w:r w:rsidRPr="00CA194C">
        <w:rPr>
          <w:b/>
          <w:bCs/>
          <w:vertAlign w:val="superscript"/>
        </w:rPr>
        <w:t>-1</w:t>
      </w:r>
      <w:r w:rsidRPr="00CA194C">
        <w:rPr>
          <w:b/>
          <w:bCs/>
        </w:rPr>
        <w:t>)</w:t>
      </w:r>
    </w:p>
    <w:p w:rsidR="00C44384" w:rsidRPr="002F0334" w:rsidRDefault="002F0334" w:rsidP="002F0334">
      <w:pPr>
        <w:spacing w:line="360" w:lineRule="auto"/>
        <w:jc w:val="center"/>
      </w:pPr>
      <w:r>
        <w:rPr>
          <w:noProof/>
        </w:rPr>
        <w:drawing>
          <wp:inline distT="0" distB="0" distL="0" distR="0">
            <wp:extent cx="4895850" cy="2809875"/>
            <wp:effectExtent l="19050" t="0" r="0" b="0"/>
            <wp:docPr id="495" name="Image 4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5"/>
                    <pic:cNvPicPr>
                      <a:picLocks noChangeAspect="1" noChangeArrowheads="1"/>
                    </pic:cNvPicPr>
                  </pic:nvPicPr>
                  <pic:blipFill>
                    <a:blip r:embed="rId40" cstate="print"/>
                    <a:srcRect/>
                    <a:stretch>
                      <a:fillRect/>
                    </a:stretch>
                  </pic:blipFill>
                  <pic:spPr bwMode="auto">
                    <a:xfrm>
                      <a:off x="0" y="0"/>
                      <a:ext cx="4895850" cy="2809875"/>
                    </a:xfrm>
                    <a:prstGeom prst="rect">
                      <a:avLst/>
                    </a:prstGeom>
                    <a:noFill/>
                    <a:ln w="9525">
                      <a:noFill/>
                      <a:miter lim="800000"/>
                      <a:headEnd/>
                      <a:tailEnd/>
                    </a:ln>
                  </pic:spPr>
                </pic:pic>
              </a:graphicData>
            </a:graphic>
          </wp:inline>
        </w:drawing>
      </w:r>
    </w:p>
    <w:p w:rsidR="00C44384" w:rsidRPr="00797D1E" w:rsidRDefault="00C44384" w:rsidP="002F0334">
      <w:pPr>
        <w:spacing w:line="360" w:lineRule="auto"/>
        <w:ind w:left="360"/>
        <w:rPr>
          <w:b/>
          <w:bCs/>
          <w:sz w:val="28"/>
          <w:szCs w:val="28"/>
        </w:rPr>
      </w:pPr>
      <w:r w:rsidRPr="00797D1E">
        <w:rPr>
          <w:b/>
          <w:bCs/>
          <w:sz w:val="28"/>
          <w:szCs w:val="28"/>
        </w:rPr>
        <w:t>II – LES ALCENES</w:t>
      </w:r>
    </w:p>
    <w:p w:rsidR="00C44384" w:rsidRDefault="00C44384" w:rsidP="002F0334">
      <w:pPr>
        <w:spacing w:before="100" w:beforeAutospacing="1" w:after="100" w:afterAutospacing="1" w:line="360" w:lineRule="auto"/>
        <w:jc w:val="both"/>
        <w:rPr>
          <w:color w:val="000000"/>
        </w:rPr>
      </w:pPr>
      <w:r>
        <w:rPr>
          <w:color w:val="000000"/>
        </w:rPr>
        <w:tab/>
      </w:r>
      <w:r w:rsidRPr="002C3979">
        <w:rPr>
          <w:color w:val="000000"/>
        </w:rPr>
        <w:t>Dans le cas des alcènes, composés présentant une double liaison &gt;C=C&lt; et des groupements alkyles (&gt;CH-, -CH</w:t>
      </w:r>
      <w:r w:rsidRPr="002C3979">
        <w:rPr>
          <w:color w:val="000000"/>
          <w:vertAlign w:val="subscript"/>
        </w:rPr>
        <w:t>2</w:t>
      </w:r>
      <w:r w:rsidRPr="002C3979">
        <w:rPr>
          <w:color w:val="000000"/>
        </w:rPr>
        <w:t>-, -CH</w:t>
      </w:r>
      <w:r w:rsidRPr="002C3979">
        <w:rPr>
          <w:color w:val="000000"/>
          <w:vertAlign w:val="subscript"/>
        </w:rPr>
        <w:t>3</w:t>
      </w:r>
      <w:r w:rsidRPr="002C3979">
        <w:rPr>
          <w:color w:val="000000"/>
        </w:rPr>
        <w:t>), on observera</w:t>
      </w:r>
      <w:r>
        <w:rPr>
          <w:color w:val="000000"/>
        </w:rPr>
        <w:t xml:space="preserve"> </w:t>
      </w:r>
      <w:r w:rsidRPr="002C3979">
        <w:rPr>
          <w:color w:val="000000"/>
        </w:rPr>
        <w:t>les bandes d'absorption des vibrations dues</w:t>
      </w:r>
      <w:r>
        <w:rPr>
          <w:color w:val="000000"/>
        </w:rPr>
        <w:t xml:space="preserve"> à ces groupements et </w:t>
      </w:r>
      <w:r w:rsidRPr="002C3979">
        <w:rPr>
          <w:color w:val="000000"/>
        </w:rPr>
        <w:t xml:space="preserve"> les bandes d'absorption dues aux vibrations du =C-H ou du =CH</w:t>
      </w:r>
      <w:r w:rsidRPr="002C3979">
        <w:rPr>
          <w:color w:val="000000"/>
          <w:vertAlign w:val="subscript"/>
        </w:rPr>
        <w:t>2</w:t>
      </w:r>
      <w:r w:rsidRPr="002C3979">
        <w:rPr>
          <w:color w:val="000000"/>
        </w:rPr>
        <w:t xml:space="preserve"> s'ils existent dans la molécule</w:t>
      </w:r>
      <w:r>
        <w:rPr>
          <w:color w:val="000000"/>
        </w:rPr>
        <w:t>.</w:t>
      </w:r>
      <w:r w:rsidRPr="002C3979">
        <w:rPr>
          <w:color w:val="000000"/>
        </w:rPr>
        <w:t xml:space="preserve"> </w:t>
      </w:r>
    </w:p>
    <w:p w:rsidR="00C44384" w:rsidRPr="00314419" w:rsidRDefault="00C44384" w:rsidP="00C44384">
      <w:pPr>
        <w:spacing w:before="100" w:beforeAutospacing="1" w:after="100" w:afterAutospacing="1" w:line="360" w:lineRule="auto"/>
        <w:jc w:val="both"/>
        <w:rPr>
          <w:b/>
          <w:bCs/>
          <w:color w:val="000000"/>
          <w:sz w:val="28"/>
          <w:szCs w:val="28"/>
        </w:rPr>
      </w:pPr>
      <w:r w:rsidRPr="00314419">
        <w:rPr>
          <w:b/>
          <w:bCs/>
          <w:color w:val="000000"/>
          <w:sz w:val="28"/>
          <w:szCs w:val="28"/>
        </w:rPr>
        <w:t>II – 1 – Les vibrations de valence des vibrateurs C=C</w:t>
      </w:r>
    </w:p>
    <w:p w:rsidR="00C44384" w:rsidRDefault="00C44384" w:rsidP="00C44384">
      <w:pPr>
        <w:spacing w:before="100" w:beforeAutospacing="1" w:after="100" w:afterAutospacing="1" w:line="360" w:lineRule="auto"/>
        <w:jc w:val="both"/>
        <w:rPr>
          <w:color w:val="000000"/>
        </w:rPr>
      </w:pPr>
      <w:r>
        <w:rPr>
          <w:color w:val="000000"/>
        </w:rPr>
        <w:tab/>
        <w:t>Le mode de vibration du vibrateur C=C des alcènes non conjugués présente habituellement une absorption moyenne à faible de 1667 à 1640 cm</w:t>
      </w:r>
      <w:r>
        <w:rPr>
          <w:color w:val="000000"/>
          <w:vertAlign w:val="superscript"/>
        </w:rPr>
        <w:t>-1</w:t>
      </w:r>
      <w:r>
        <w:rPr>
          <w:color w:val="000000"/>
        </w:rPr>
        <w:t xml:space="preserve">. L’absorption des alcènes </w:t>
      </w:r>
      <w:proofErr w:type="spellStart"/>
      <w:r>
        <w:rPr>
          <w:color w:val="000000"/>
        </w:rPr>
        <w:t>trans</w:t>
      </w:r>
      <w:proofErr w:type="spellEnd"/>
      <w:r>
        <w:rPr>
          <w:color w:val="000000"/>
        </w:rPr>
        <w:t xml:space="preserve"> </w:t>
      </w:r>
      <w:proofErr w:type="spellStart"/>
      <w:r>
        <w:rPr>
          <w:color w:val="000000"/>
        </w:rPr>
        <w:t>disubstitués</w:t>
      </w:r>
      <w:proofErr w:type="spellEnd"/>
      <w:r>
        <w:rPr>
          <w:color w:val="000000"/>
        </w:rPr>
        <w:t xml:space="preserve"> symétriques et des alcènes </w:t>
      </w:r>
      <w:proofErr w:type="spellStart"/>
      <w:r>
        <w:rPr>
          <w:color w:val="000000"/>
        </w:rPr>
        <w:t>tétrasubstitués</w:t>
      </w:r>
      <w:proofErr w:type="spellEnd"/>
      <w:r>
        <w:rPr>
          <w:color w:val="000000"/>
        </w:rPr>
        <w:t xml:space="preserve"> peut être extrêmement faible ou inexistante. Les alcènes cis, qui ne possèdent pas la symétrie de la structure </w:t>
      </w:r>
      <w:proofErr w:type="spellStart"/>
      <w:r>
        <w:rPr>
          <w:color w:val="000000"/>
        </w:rPr>
        <w:t>trans</w:t>
      </w:r>
      <w:proofErr w:type="spellEnd"/>
      <w:r>
        <w:rPr>
          <w:color w:val="000000"/>
        </w:rPr>
        <w:t xml:space="preserve">, absorbent plus fortement que les alcènes </w:t>
      </w:r>
      <w:proofErr w:type="spellStart"/>
      <w:r>
        <w:rPr>
          <w:color w:val="000000"/>
        </w:rPr>
        <w:t>trans</w:t>
      </w:r>
      <w:proofErr w:type="spellEnd"/>
      <w:r>
        <w:rPr>
          <w:color w:val="000000"/>
        </w:rPr>
        <w:t xml:space="preserve">. L’absorption rattachée au mode de vibration de valence du vibrateur C=C dans un cycle non tendu (cycle à 6 chaînons) (figure 4) est essentiellement la même que pour l’isomère cis dans un système acyclique. </w:t>
      </w:r>
    </w:p>
    <w:p w:rsidR="00C44384" w:rsidRDefault="00C44384" w:rsidP="00C44384">
      <w:pPr>
        <w:spacing w:before="100" w:beforeAutospacing="1" w:after="100" w:afterAutospacing="1"/>
        <w:jc w:val="center"/>
        <w:rPr>
          <w:color w:val="333333"/>
        </w:rPr>
      </w:pPr>
      <w:r>
        <w:rPr>
          <w:noProof/>
          <w:color w:val="333333"/>
        </w:rPr>
        <w:lastRenderedPageBreak/>
        <w:drawing>
          <wp:inline distT="0" distB="0" distL="0" distR="0">
            <wp:extent cx="4705350" cy="2495550"/>
            <wp:effectExtent l="19050" t="0" r="0" b="0"/>
            <wp:docPr id="63" name="Imag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a:picLocks noChangeAspect="1" noChangeArrowheads="1"/>
                    </pic:cNvPicPr>
                  </pic:nvPicPr>
                  <pic:blipFill>
                    <a:blip r:embed="rId41" cstate="print"/>
                    <a:srcRect/>
                    <a:stretch>
                      <a:fillRect/>
                    </a:stretch>
                  </pic:blipFill>
                  <pic:spPr bwMode="auto">
                    <a:xfrm>
                      <a:off x="0" y="0"/>
                      <a:ext cx="4705350" cy="2495550"/>
                    </a:xfrm>
                    <a:prstGeom prst="rect">
                      <a:avLst/>
                    </a:prstGeom>
                    <a:noFill/>
                    <a:ln w="9525">
                      <a:noFill/>
                      <a:miter lim="800000"/>
                      <a:headEnd/>
                      <a:tailEnd/>
                    </a:ln>
                  </pic:spPr>
                </pic:pic>
              </a:graphicData>
            </a:graphic>
          </wp:inline>
        </w:drawing>
      </w:r>
    </w:p>
    <w:p w:rsidR="00C44384" w:rsidRDefault="00C44384" w:rsidP="002F0334">
      <w:pPr>
        <w:spacing w:before="100" w:beforeAutospacing="1" w:after="100" w:afterAutospacing="1"/>
        <w:jc w:val="center"/>
        <w:rPr>
          <w:b/>
          <w:bCs/>
          <w:color w:val="333333"/>
        </w:rPr>
      </w:pPr>
      <w:r>
        <w:rPr>
          <w:b/>
          <w:bCs/>
          <w:color w:val="333333"/>
        </w:rPr>
        <w:t xml:space="preserve">Figure 4: </w:t>
      </w:r>
      <w:r w:rsidRPr="00644CBB">
        <w:rPr>
          <w:b/>
          <w:bCs/>
          <w:color w:val="333333"/>
        </w:rPr>
        <w:t xml:space="preserve">Spectre infrarouge du </w:t>
      </w:r>
      <w:proofErr w:type="spellStart"/>
      <w:r w:rsidRPr="00644CBB">
        <w:rPr>
          <w:b/>
          <w:bCs/>
          <w:color w:val="333333"/>
        </w:rPr>
        <w:t>cyclohexène</w:t>
      </w:r>
      <w:proofErr w:type="spellEnd"/>
    </w:p>
    <w:p w:rsidR="00C44384" w:rsidRDefault="00C44384" w:rsidP="00C44384">
      <w:pPr>
        <w:spacing w:before="100" w:beforeAutospacing="1" w:after="100" w:afterAutospacing="1" w:line="360" w:lineRule="auto"/>
        <w:jc w:val="both"/>
        <w:rPr>
          <w:color w:val="000000"/>
        </w:rPr>
      </w:pPr>
      <w:r>
        <w:rPr>
          <w:color w:val="000000"/>
        </w:rPr>
        <w:tab/>
        <w:t>La fréquence du mode de vibration du vibrateur C=C diminue au fur et à mesure que la tension du cycle augmente (schéma ci-dessous).</w:t>
      </w:r>
    </w:p>
    <w:p w:rsidR="00387815" w:rsidRPr="00B52743" w:rsidRDefault="002F0334" w:rsidP="00B52743">
      <w:pPr>
        <w:pStyle w:val="Titre2"/>
        <w:spacing w:before="240" w:after="240"/>
        <w:jc w:val="center"/>
        <w:rPr>
          <w:color w:val="000000"/>
        </w:rPr>
      </w:pPr>
      <w:r>
        <w:rPr>
          <w:noProof/>
          <w:color w:val="000000"/>
        </w:rPr>
        <w:drawing>
          <wp:inline distT="0" distB="0" distL="0" distR="0">
            <wp:extent cx="4143375" cy="1019175"/>
            <wp:effectExtent l="19050" t="0" r="9525" b="0"/>
            <wp:docPr id="494" name="Image 4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4"/>
                    <pic:cNvPicPr>
                      <a:picLocks noChangeAspect="1" noChangeArrowheads="1"/>
                    </pic:cNvPicPr>
                  </pic:nvPicPr>
                  <pic:blipFill>
                    <a:blip r:embed="rId42" cstate="print"/>
                    <a:srcRect/>
                    <a:stretch>
                      <a:fillRect/>
                    </a:stretch>
                  </pic:blipFill>
                  <pic:spPr bwMode="auto">
                    <a:xfrm>
                      <a:off x="0" y="0"/>
                      <a:ext cx="4143375" cy="1019175"/>
                    </a:xfrm>
                    <a:prstGeom prst="rect">
                      <a:avLst/>
                    </a:prstGeom>
                    <a:noFill/>
                    <a:ln w="9525">
                      <a:noFill/>
                      <a:miter lim="800000"/>
                      <a:headEnd/>
                      <a:tailEnd/>
                    </a:ln>
                  </pic:spPr>
                </pic:pic>
              </a:graphicData>
            </a:graphic>
          </wp:inline>
        </w:drawing>
      </w:r>
    </w:p>
    <w:p w:rsidR="00C44384" w:rsidRPr="00302B1E" w:rsidRDefault="00C44384" w:rsidP="00C44384">
      <w:pPr>
        <w:pStyle w:val="Titre2"/>
        <w:rPr>
          <w:sz w:val="28"/>
          <w:szCs w:val="28"/>
        </w:rPr>
      </w:pPr>
      <w:r w:rsidRPr="00302B1E">
        <w:rPr>
          <w:color w:val="000000"/>
          <w:sz w:val="28"/>
          <w:szCs w:val="28"/>
        </w:rPr>
        <w:t>II – 2 -</w:t>
      </w:r>
      <w:r w:rsidRPr="00302B1E">
        <w:rPr>
          <w:sz w:val="28"/>
          <w:szCs w:val="28"/>
        </w:rPr>
        <w:t xml:space="preserve"> Les vibrations de valence du vibrateur C-H</w:t>
      </w:r>
    </w:p>
    <w:p w:rsidR="00C44384" w:rsidRPr="00071218" w:rsidRDefault="00C44384" w:rsidP="00C44384">
      <w:pPr>
        <w:spacing w:before="100" w:beforeAutospacing="1" w:after="100" w:afterAutospacing="1" w:line="360" w:lineRule="auto"/>
        <w:jc w:val="both"/>
        <w:rPr>
          <w:color w:val="000000"/>
        </w:rPr>
      </w:pPr>
      <w:r>
        <w:rPr>
          <w:color w:val="000000"/>
        </w:rPr>
        <w:tab/>
      </w:r>
      <w:r w:rsidRPr="00071218">
        <w:rPr>
          <w:color w:val="000000"/>
        </w:rPr>
        <w:t xml:space="preserve">Quand la double liaison &gt;C=C&lt; porte au moins un hydrogène, on observe d'autres vibrations en plus de l'élongation &gt;C=C&lt; : l'élongation =C-H </w:t>
      </w:r>
      <w:r>
        <w:rPr>
          <w:color w:val="000000"/>
        </w:rPr>
        <w:t xml:space="preserve">et </w:t>
      </w:r>
      <w:r w:rsidRPr="00071218">
        <w:rPr>
          <w:color w:val="000000"/>
        </w:rPr>
        <w:t xml:space="preserve">au minimum, une des deux vibrations de déformation du =C-H. </w:t>
      </w:r>
    </w:p>
    <w:p w:rsidR="00C44384" w:rsidRDefault="00C44384" w:rsidP="00C44384">
      <w:pPr>
        <w:spacing w:before="100" w:beforeAutospacing="1" w:after="100" w:afterAutospacing="1" w:line="360" w:lineRule="auto"/>
        <w:jc w:val="both"/>
        <w:rPr>
          <w:color w:val="000000"/>
        </w:rPr>
      </w:pPr>
      <w:r>
        <w:rPr>
          <w:color w:val="000000"/>
        </w:rPr>
        <w:tab/>
        <w:t xml:space="preserve">Ainsi, </w:t>
      </w:r>
      <w:r w:rsidRPr="00071218">
        <w:rPr>
          <w:color w:val="000000"/>
        </w:rPr>
        <w:t>la vibration d'élongatio</w:t>
      </w:r>
      <w:r>
        <w:rPr>
          <w:color w:val="000000"/>
        </w:rPr>
        <w:t>n =C-H des alcènes apparaît dans la région 3050-3150 cm</w:t>
      </w:r>
      <w:r>
        <w:rPr>
          <w:color w:val="000000"/>
          <w:vertAlign w:val="superscript"/>
        </w:rPr>
        <w:t>-1</w:t>
      </w:r>
      <w:r>
        <w:rPr>
          <w:color w:val="000000"/>
        </w:rPr>
        <w:t>. L’intensité des absorptions des élongations des vibrateurs =C-H d’alcènes, comparée à celles des</w:t>
      </w:r>
      <w:r w:rsidRPr="007D0A23">
        <w:t xml:space="preserve"> </w:t>
      </w:r>
      <w:r w:rsidRPr="00071218">
        <w:rPr>
          <w:color w:val="000000"/>
        </w:rPr>
        <w:t>vibration</w:t>
      </w:r>
      <w:r>
        <w:rPr>
          <w:color w:val="000000"/>
        </w:rPr>
        <w:t xml:space="preserve">s </w:t>
      </w:r>
      <w:r w:rsidRPr="00071218">
        <w:rPr>
          <w:color w:val="000000"/>
        </w:rPr>
        <w:t xml:space="preserve"> d'élongatio</w:t>
      </w:r>
      <w:r>
        <w:rPr>
          <w:color w:val="000000"/>
        </w:rPr>
        <w:t>n des C-H saturés est proportionnelle au nombre relatif des deux types de C-H dans la molécule.</w:t>
      </w:r>
    </w:p>
    <w:p w:rsidR="00C44384" w:rsidRPr="00314419" w:rsidRDefault="00C44384" w:rsidP="00C44384">
      <w:pPr>
        <w:spacing w:before="100" w:beforeAutospacing="1" w:after="100" w:afterAutospacing="1" w:line="360" w:lineRule="auto"/>
        <w:rPr>
          <w:b/>
          <w:bCs/>
          <w:color w:val="000000"/>
          <w:sz w:val="28"/>
          <w:szCs w:val="28"/>
        </w:rPr>
      </w:pPr>
      <w:r w:rsidRPr="00314419">
        <w:rPr>
          <w:b/>
          <w:bCs/>
          <w:color w:val="000000"/>
          <w:sz w:val="28"/>
          <w:szCs w:val="28"/>
        </w:rPr>
        <w:t>II – 3 – Les vibrations de déformation des vibrateurs C-H</w:t>
      </w:r>
    </w:p>
    <w:p w:rsidR="00C44384" w:rsidRPr="00745EE9" w:rsidRDefault="00C44384" w:rsidP="00C44384">
      <w:pPr>
        <w:spacing w:before="100" w:beforeAutospacing="1" w:after="100" w:afterAutospacing="1" w:line="360" w:lineRule="auto"/>
        <w:jc w:val="both"/>
        <w:rPr>
          <w:rFonts w:ascii="Arial" w:hAnsi="Arial" w:cs="Arial"/>
          <w:color w:val="000000"/>
          <w:sz w:val="22"/>
          <w:szCs w:val="22"/>
        </w:rPr>
      </w:pPr>
      <w:r>
        <w:rPr>
          <w:color w:val="000000"/>
        </w:rPr>
        <w:tab/>
      </w:r>
      <w:r w:rsidRPr="00071218">
        <w:rPr>
          <w:color w:val="000000"/>
        </w:rPr>
        <w:t>Pour les alcènes, on observe deux sortes de vibrations de déformation</w:t>
      </w:r>
      <w:r w:rsidRPr="00A56E7D">
        <w:rPr>
          <w:rFonts w:ascii="Arial" w:hAnsi="Arial" w:cs="Arial"/>
          <w:color w:val="000000"/>
          <w:sz w:val="22"/>
          <w:szCs w:val="22"/>
        </w:rPr>
        <w:t>.</w:t>
      </w:r>
      <w:r>
        <w:rPr>
          <w:rFonts w:ascii="Arial" w:hAnsi="Arial" w:cs="Arial"/>
          <w:color w:val="000000"/>
          <w:sz w:val="22"/>
          <w:szCs w:val="22"/>
        </w:rPr>
        <w:t xml:space="preserve"> </w:t>
      </w:r>
      <w:r w:rsidRPr="00F30D0A">
        <w:rPr>
          <w:color w:val="000000"/>
        </w:rPr>
        <w:t xml:space="preserve">L'une est dans le plan </w:t>
      </w:r>
      <w:proofErr w:type="gramStart"/>
      <w:r w:rsidRPr="00F30D0A">
        <w:rPr>
          <w:color w:val="000000"/>
        </w:rPr>
        <w:t>de la</w:t>
      </w:r>
      <w:proofErr w:type="gramEnd"/>
      <w:r w:rsidRPr="00F30D0A">
        <w:rPr>
          <w:color w:val="000000"/>
        </w:rPr>
        <w:t xml:space="preserve"> double liaison, l'autre hors du plan de la double liaison.</w:t>
      </w:r>
      <w:r>
        <w:rPr>
          <w:rFonts w:ascii="Arial" w:hAnsi="Arial" w:cs="Arial"/>
          <w:color w:val="000000"/>
          <w:sz w:val="22"/>
          <w:szCs w:val="22"/>
        </w:rPr>
        <w:t xml:space="preserve"> </w:t>
      </w:r>
      <w:r w:rsidRPr="00F30D0A">
        <w:rPr>
          <w:color w:val="000000"/>
        </w:rPr>
        <w:t xml:space="preserve">Le mouvement de déformation angulaire dans le plan est constitué par une ouverture puis une fermeture </w:t>
      </w:r>
      <w:r w:rsidRPr="00F30D0A">
        <w:rPr>
          <w:color w:val="000000"/>
        </w:rPr>
        <w:lastRenderedPageBreak/>
        <w:t>alternative de l'angle. Cette vibration conduit à une absorption vers 1400 cm</w:t>
      </w:r>
      <w:r w:rsidRPr="00F30D0A">
        <w:rPr>
          <w:color w:val="000000"/>
          <w:vertAlign w:val="superscript"/>
        </w:rPr>
        <w:t>-1</w:t>
      </w:r>
      <w:r w:rsidRPr="00F30D0A">
        <w:rPr>
          <w:color w:val="000000"/>
        </w:rPr>
        <w:t xml:space="preserve"> qui n'est pas exploitable pour l'interprétation des spectres.</w:t>
      </w:r>
    </w:p>
    <w:p w:rsidR="00C44384" w:rsidRDefault="00C44384" w:rsidP="00C44384">
      <w:pPr>
        <w:spacing w:before="100" w:beforeAutospacing="1" w:after="100" w:afterAutospacing="1" w:line="360" w:lineRule="auto"/>
        <w:jc w:val="both"/>
        <w:rPr>
          <w:color w:val="333333"/>
        </w:rPr>
      </w:pPr>
      <w:r>
        <w:rPr>
          <w:color w:val="333333"/>
        </w:rPr>
        <w:tab/>
      </w:r>
      <w:r w:rsidRPr="00F30D0A">
        <w:rPr>
          <w:color w:val="333333"/>
        </w:rPr>
        <w:t xml:space="preserve">Les fréquences d'absorption des vibrations de déformation </w:t>
      </w:r>
      <w:r>
        <w:rPr>
          <w:color w:val="333333"/>
        </w:rPr>
        <w:t xml:space="preserve">hors du plan </w:t>
      </w:r>
      <w:r w:rsidRPr="00F30D0A">
        <w:rPr>
          <w:color w:val="333333"/>
        </w:rPr>
        <w:t xml:space="preserve">des liaisons </w:t>
      </w:r>
      <w:r>
        <w:rPr>
          <w:color w:val="333333"/>
        </w:rPr>
        <w:t>C</w:t>
      </w:r>
      <w:r w:rsidRPr="00F30D0A">
        <w:rPr>
          <w:color w:val="333333"/>
        </w:rPr>
        <w:t xml:space="preserve">H </w:t>
      </w:r>
      <w:r>
        <w:rPr>
          <w:color w:val="333333"/>
        </w:rPr>
        <w:t xml:space="preserve">sont situées entre 1000 et 650 </w:t>
      </w:r>
      <w:r w:rsidRPr="00745EE9">
        <w:rPr>
          <w:color w:val="333333"/>
        </w:rPr>
        <w:t>cm</w:t>
      </w:r>
      <w:r w:rsidRPr="00745EE9">
        <w:rPr>
          <w:color w:val="333333"/>
          <w:vertAlign w:val="superscript"/>
        </w:rPr>
        <w:t>-1</w:t>
      </w:r>
      <w:r>
        <w:rPr>
          <w:color w:val="333333"/>
        </w:rPr>
        <w:t xml:space="preserve">. </w:t>
      </w:r>
      <w:r w:rsidRPr="000D0D5E">
        <w:rPr>
          <w:color w:val="000000"/>
        </w:rPr>
        <w:t>Ces vibration</w:t>
      </w:r>
      <w:r>
        <w:rPr>
          <w:color w:val="000000"/>
        </w:rPr>
        <w:t>s conduisent</w:t>
      </w:r>
      <w:r w:rsidRPr="000D0D5E">
        <w:rPr>
          <w:color w:val="000000"/>
        </w:rPr>
        <w:t xml:space="preserve"> à une ou deux absorptions</w:t>
      </w:r>
      <w:r>
        <w:rPr>
          <w:color w:val="000000"/>
        </w:rPr>
        <w:t>,</w:t>
      </w:r>
      <w:r w:rsidRPr="00B128F7">
        <w:rPr>
          <w:color w:val="333333"/>
        </w:rPr>
        <w:t xml:space="preserve"> </w:t>
      </w:r>
      <w:r>
        <w:rPr>
          <w:color w:val="333333"/>
        </w:rPr>
        <w:t>les plus intenses dans les spectres des alcènes,</w:t>
      </w:r>
      <w:r w:rsidRPr="000D0D5E">
        <w:rPr>
          <w:color w:val="000000"/>
        </w:rPr>
        <w:t xml:space="preserve"> qui sont d'un grand intérêt pour l'interprétation des spectres</w:t>
      </w:r>
      <w:r>
        <w:rPr>
          <w:color w:val="333333"/>
        </w:rPr>
        <w:t xml:space="preserve">. </w:t>
      </w:r>
      <w:r w:rsidRPr="00F30D0A">
        <w:rPr>
          <w:color w:val="333333"/>
        </w:rPr>
        <w:t>Quelques absorptions caractéristiques so</w:t>
      </w:r>
      <w:r>
        <w:rPr>
          <w:color w:val="333333"/>
        </w:rPr>
        <w:t>nt données dans le tableau 2</w:t>
      </w:r>
      <w:r w:rsidRPr="000225C8">
        <w:rPr>
          <w:color w:val="333333"/>
        </w:rPr>
        <w:t>.</w:t>
      </w:r>
    </w:p>
    <w:tbl>
      <w:tblPr>
        <w:tblW w:w="5000" w:type="pct"/>
        <w:jc w:val="center"/>
        <w:tblCellSpacing w:w="0" w:type="dxa"/>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Look w:val="0000"/>
      </w:tblPr>
      <w:tblGrid>
        <w:gridCol w:w="2579"/>
        <w:gridCol w:w="2117"/>
        <w:gridCol w:w="2344"/>
        <w:gridCol w:w="2180"/>
      </w:tblGrid>
      <w:tr w:rsidR="00C44384" w:rsidRPr="005A07DB" w:rsidTr="00302B1E">
        <w:trPr>
          <w:trHeight w:val="981"/>
          <w:tblCellSpacing w:w="0" w:type="dxa"/>
          <w:jc w:val="center"/>
        </w:trPr>
        <w:tc>
          <w:tcPr>
            <w:tcW w:w="1399" w:type="pct"/>
            <w:tcBorders>
              <w:top w:val="outset" w:sz="6" w:space="0" w:color="auto"/>
              <w:left w:val="outset" w:sz="6" w:space="0" w:color="auto"/>
              <w:bottom w:val="outset" w:sz="6" w:space="0" w:color="auto"/>
              <w:right w:val="outset" w:sz="6" w:space="0" w:color="auto"/>
            </w:tcBorders>
          </w:tcPr>
          <w:p w:rsidR="00C44384" w:rsidRPr="005A07DB" w:rsidRDefault="00C44384" w:rsidP="00AA32EE">
            <w:pPr>
              <w:spacing w:before="100" w:beforeAutospacing="1" w:after="100" w:afterAutospacing="1"/>
              <w:jc w:val="center"/>
              <w:rPr>
                <w:color w:val="333333"/>
              </w:rPr>
            </w:pPr>
            <w:r w:rsidRPr="005A07DB">
              <w:rPr>
                <w:color w:val="333333"/>
              </w:rPr>
              <w:t>Composé</w:t>
            </w:r>
          </w:p>
        </w:tc>
        <w:tc>
          <w:tcPr>
            <w:tcW w:w="1148" w:type="pct"/>
            <w:tcBorders>
              <w:top w:val="outset" w:sz="6" w:space="0" w:color="auto"/>
              <w:left w:val="outset" w:sz="6" w:space="0" w:color="auto"/>
              <w:bottom w:val="outset" w:sz="6" w:space="0" w:color="auto"/>
              <w:right w:val="outset" w:sz="6" w:space="0" w:color="auto"/>
            </w:tcBorders>
          </w:tcPr>
          <w:p w:rsidR="00C44384" w:rsidRPr="005A07DB" w:rsidRDefault="00C44384" w:rsidP="00AA32EE">
            <w:pPr>
              <w:spacing w:before="100" w:beforeAutospacing="1" w:after="100" w:afterAutospacing="1"/>
              <w:jc w:val="center"/>
              <w:rPr>
                <w:color w:val="333333"/>
              </w:rPr>
            </w:pPr>
            <w:r>
              <w:rPr>
                <w:noProof/>
                <w:color w:val="333333"/>
              </w:rPr>
              <w:drawing>
                <wp:inline distT="0" distB="0" distL="0" distR="0">
                  <wp:extent cx="581025" cy="609600"/>
                  <wp:effectExtent l="19050" t="0" r="9525" b="0"/>
                  <wp:docPr id="65" name="Image 65" descr="alcenir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alcenir3"/>
                          <pic:cNvPicPr>
                            <a:picLocks noChangeAspect="1" noChangeArrowheads="1"/>
                          </pic:cNvPicPr>
                        </pic:nvPicPr>
                        <pic:blipFill>
                          <a:blip r:embed="rId43" cstate="print"/>
                          <a:srcRect/>
                          <a:stretch>
                            <a:fillRect/>
                          </a:stretch>
                        </pic:blipFill>
                        <pic:spPr bwMode="auto">
                          <a:xfrm>
                            <a:off x="0" y="0"/>
                            <a:ext cx="581025" cy="609600"/>
                          </a:xfrm>
                          <a:prstGeom prst="rect">
                            <a:avLst/>
                          </a:prstGeom>
                          <a:noFill/>
                          <a:ln w="9525">
                            <a:noFill/>
                            <a:miter lim="800000"/>
                            <a:headEnd/>
                            <a:tailEnd/>
                          </a:ln>
                        </pic:spPr>
                      </pic:pic>
                    </a:graphicData>
                  </a:graphic>
                </wp:inline>
              </w:drawing>
            </w:r>
          </w:p>
        </w:tc>
        <w:tc>
          <w:tcPr>
            <w:tcW w:w="1271" w:type="pct"/>
            <w:tcBorders>
              <w:top w:val="outset" w:sz="6" w:space="0" w:color="auto"/>
              <w:left w:val="outset" w:sz="6" w:space="0" w:color="auto"/>
              <w:bottom w:val="outset" w:sz="6" w:space="0" w:color="auto"/>
              <w:right w:val="outset" w:sz="6" w:space="0" w:color="auto"/>
            </w:tcBorders>
          </w:tcPr>
          <w:p w:rsidR="00C44384" w:rsidRPr="005A07DB" w:rsidRDefault="00C44384" w:rsidP="00AA32EE">
            <w:pPr>
              <w:spacing w:before="100" w:beforeAutospacing="1" w:after="100" w:afterAutospacing="1"/>
              <w:jc w:val="center"/>
              <w:rPr>
                <w:color w:val="333333"/>
              </w:rPr>
            </w:pPr>
            <w:r>
              <w:rPr>
                <w:noProof/>
                <w:color w:val="333333"/>
              </w:rPr>
              <w:drawing>
                <wp:inline distT="0" distB="0" distL="0" distR="0">
                  <wp:extent cx="571500" cy="590550"/>
                  <wp:effectExtent l="19050" t="0" r="0" b="0"/>
                  <wp:docPr id="66" name="Image 66" descr="alceni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alcenir2"/>
                          <pic:cNvPicPr>
                            <a:picLocks noChangeAspect="1" noChangeArrowheads="1"/>
                          </pic:cNvPicPr>
                        </pic:nvPicPr>
                        <pic:blipFill>
                          <a:blip r:embed="rId44" cstate="print"/>
                          <a:srcRect/>
                          <a:stretch>
                            <a:fillRect/>
                          </a:stretch>
                        </pic:blipFill>
                        <pic:spPr bwMode="auto">
                          <a:xfrm>
                            <a:off x="0" y="0"/>
                            <a:ext cx="571500" cy="590550"/>
                          </a:xfrm>
                          <a:prstGeom prst="rect">
                            <a:avLst/>
                          </a:prstGeom>
                          <a:noFill/>
                          <a:ln w="9525">
                            <a:noFill/>
                            <a:miter lim="800000"/>
                            <a:headEnd/>
                            <a:tailEnd/>
                          </a:ln>
                        </pic:spPr>
                      </pic:pic>
                    </a:graphicData>
                  </a:graphic>
                </wp:inline>
              </w:drawing>
            </w:r>
          </w:p>
        </w:tc>
        <w:tc>
          <w:tcPr>
            <w:tcW w:w="1182" w:type="pct"/>
            <w:tcBorders>
              <w:top w:val="outset" w:sz="6" w:space="0" w:color="auto"/>
              <w:left w:val="outset" w:sz="6" w:space="0" w:color="auto"/>
              <w:bottom w:val="outset" w:sz="6" w:space="0" w:color="auto"/>
              <w:right w:val="outset" w:sz="6" w:space="0" w:color="auto"/>
            </w:tcBorders>
          </w:tcPr>
          <w:p w:rsidR="00C44384" w:rsidRPr="005A07DB" w:rsidRDefault="00C44384" w:rsidP="00AA32EE">
            <w:pPr>
              <w:spacing w:before="100" w:beforeAutospacing="1" w:after="100" w:afterAutospacing="1"/>
              <w:jc w:val="center"/>
              <w:rPr>
                <w:b/>
                <w:bCs/>
                <w:color w:val="333333"/>
              </w:rPr>
            </w:pPr>
            <w:r>
              <w:rPr>
                <w:b/>
                <w:bCs/>
                <w:noProof/>
                <w:color w:val="333333"/>
              </w:rPr>
              <w:drawing>
                <wp:inline distT="0" distB="0" distL="0" distR="0">
                  <wp:extent cx="600075" cy="619125"/>
                  <wp:effectExtent l="19050" t="0" r="9525" b="0"/>
                  <wp:docPr id="67" name="Image 67" descr="alceni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alcenir1"/>
                          <pic:cNvPicPr>
                            <a:picLocks noChangeAspect="1" noChangeArrowheads="1"/>
                          </pic:cNvPicPr>
                        </pic:nvPicPr>
                        <pic:blipFill>
                          <a:blip r:embed="rId45" cstate="print"/>
                          <a:srcRect/>
                          <a:stretch>
                            <a:fillRect/>
                          </a:stretch>
                        </pic:blipFill>
                        <pic:spPr bwMode="auto">
                          <a:xfrm>
                            <a:off x="0" y="0"/>
                            <a:ext cx="600075" cy="619125"/>
                          </a:xfrm>
                          <a:prstGeom prst="rect">
                            <a:avLst/>
                          </a:prstGeom>
                          <a:noFill/>
                          <a:ln w="9525">
                            <a:noFill/>
                            <a:miter lim="800000"/>
                            <a:headEnd/>
                            <a:tailEnd/>
                          </a:ln>
                        </pic:spPr>
                      </pic:pic>
                    </a:graphicData>
                  </a:graphic>
                </wp:inline>
              </w:drawing>
            </w:r>
          </w:p>
        </w:tc>
      </w:tr>
      <w:tr w:rsidR="00C44384" w:rsidRPr="005A07DB" w:rsidTr="00302B1E">
        <w:trPr>
          <w:trHeight w:val="417"/>
          <w:tblCellSpacing w:w="0" w:type="dxa"/>
          <w:jc w:val="center"/>
        </w:trPr>
        <w:tc>
          <w:tcPr>
            <w:tcW w:w="1399" w:type="pct"/>
            <w:tcBorders>
              <w:top w:val="outset" w:sz="6" w:space="0" w:color="auto"/>
              <w:left w:val="outset" w:sz="6" w:space="0" w:color="auto"/>
              <w:bottom w:val="outset" w:sz="6" w:space="0" w:color="auto"/>
              <w:right w:val="outset" w:sz="6" w:space="0" w:color="auto"/>
            </w:tcBorders>
          </w:tcPr>
          <w:p w:rsidR="00C44384" w:rsidRPr="005A07DB" w:rsidRDefault="00C44384" w:rsidP="00AA32EE">
            <w:pPr>
              <w:spacing w:before="100" w:beforeAutospacing="1" w:after="100" w:afterAutospacing="1"/>
              <w:jc w:val="center"/>
              <w:rPr>
                <w:color w:val="333333"/>
              </w:rPr>
            </w:pPr>
            <w:r w:rsidRPr="000225C8">
              <w:rPr>
                <w:color w:val="333333"/>
              </w:rPr>
              <w:sym w:font="Symbol" w:char="F067"/>
            </w:r>
            <w:r w:rsidRPr="000225C8">
              <w:rPr>
                <w:color w:val="333333"/>
                <w:vertAlign w:val="subscript"/>
              </w:rPr>
              <w:t>=C-H</w:t>
            </w:r>
            <w:r w:rsidRPr="005A07DB">
              <w:rPr>
                <w:color w:val="333333"/>
              </w:rPr>
              <w:t xml:space="preserve"> (cm</w:t>
            </w:r>
            <w:r w:rsidRPr="005A07DB">
              <w:rPr>
                <w:rFonts w:ascii="Symbol" w:hAnsi="Symbol"/>
                <w:color w:val="333333"/>
                <w:vertAlign w:val="superscript"/>
              </w:rPr>
              <w:t></w:t>
            </w:r>
            <w:r w:rsidRPr="005A07DB">
              <w:rPr>
                <w:color w:val="333333"/>
                <w:vertAlign w:val="superscript"/>
              </w:rPr>
              <w:t>1</w:t>
            </w:r>
            <w:r w:rsidRPr="005A07DB">
              <w:rPr>
                <w:color w:val="333333"/>
              </w:rPr>
              <w:t>)</w:t>
            </w:r>
          </w:p>
        </w:tc>
        <w:tc>
          <w:tcPr>
            <w:tcW w:w="1148" w:type="pct"/>
            <w:tcBorders>
              <w:top w:val="outset" w:sz="6" w:space="0" w:color="auto"/>
              <w:left w:val="outset" w:sz="6" w:space="0" w:color="auto"/>
              <w:bottom w:val="outset" w:sz="6" w:space="0" w:color="auto"/>
              <w:right w:val="outset" w:sz="6" w:space="0" w:color="auto"/>
            </w:tcBorders>
          </w:tcPr>
          <w:p w:rsidR="00C44384" w:rsidRPr="005A07DB" w:rsidRDefault="00C44384" w:rsidP="00AA32EE">
            <w:pPr>
              <w:spacing w:before="100" w:beforeAutospacing="1" w:after="100" w:afterAutospacing="1"/>
              <w:jc w:val="center"/>
              <w:rPr>
                <w:color w:val="333333"/>
              </w:rPr>
            </w:pPr>
            <w:r w:rsidRPr="005A07DB">
              <w:rPr>
                <w:color w:val="333333"/>
              </w:rPr>
              <w:t>890</w:t>
            </w:r>
          </w:p>
        </w:tc>
        <w:tc>
          <w:tcPr>
            <w:tcW w:w="1271" w:type="pct"/>
            <w:tcBorders>
              <w:top w:val="outset" w:sz="6" w:space="0" w:color="auto"/>
              <w:left w:val="outset" w:sz="6" w:space="0" w:color="auto"/>
              <w:bottom w:val="outset" w:sz="6" w:space="0" w:color="auto"/>
              <w:right w:val="outset" w:sz="6" w:space="0" w:color="auto"/>
            </w:tcBorders>
          </w:tcPr>
          <w:p w:rsidR="00C44384" w:rsidRPr="005A07DB" w:rsidRDefault="00C44384" w:rsidP="00AA32EE">
            <w:pPr>
              <w:spacing w:before="100" w:beforeAutospacing="1" w:after="100" w:afterAutospacing="1"/>
              <w:jc w:val="center"/>
              <w:rPr>
                <w:color w:val="333333"/>
              </w:rPr>
            </w:pPr>
            <w:r w:rsidRPr="005A07DB">
              <w:rPr>
                <w:color w:val="333333"/>
              </w:rPr>
              <w:t>915 &amp; 995</w:t>
            </w:r>
          </w:p>
        </w:tc>
        <w:tc>
          <w:tcPr>
            <w:tcW w:w="1182" w:type="pct"/>
            <w:tcBorders>
              <w:top w:val="outset" w:sz="6" w:space="0" w:color="auto"/>
              <w:left w:val="outset" w:sz="6" w:space="0" w:color="auto"/>
              <w:bottom w:val="outset" w:sz="6" w:space="0" w:color="auto"/>
              <w:right w:val="outset" w:sz="6" w:space="0" w:color="auto"/>
            </w:tcBorders>
          </w:tcPr>
          <w:p w:rsidR="00C44384" w:rsidRPr="005A07DB" w:rsidRDefault="00C44384" w:rsidP="00AA32EE">
            <w:pPr>
              <w:spacing w:before="100" w:beforeAutospacing="1" w:after="100" w:afterAutospacing="1"/>
              <w:jc w:val="center"/>
              <w:rPr>
                <w:color w:val="333333"/>
              </w:rPr>
            </w:pPr>
            <w:r w:rsidRPr="005A07DB">
              <w:rPr>
                <w:color w:val="333333"/>
              </w:rPr>
              <w:t>970</w:t>
            </w:r>
          </w:p>
        </w:tc>
      </w:tr>
    </w:tbl>
    <w:p w:rsidR="00C44384" w:rsidRDefault="00C44384" w:rsidP="00C44384">
      <w:pPr>
        <w:ind w:right="562"/>
        <w:jc w:val="center"/>
        <w:rPr>
          <w:b/>
          <w:bCs/>
        </w:rPr>
      </w:pPr>
    </w:p>
    <w:p w:rsidR="00C44384" w:rsidRDefault="00C44384" w:rsidP="00C44384">
      <w:pPr>
        <w:spacing w:line="360" w:lineRule="auto"/>
        <w:ind w:right="72"/>
        <w:jc w:val="center"/>
        <w:rPr>
          <w:b/>
          <w:bCs/>
        </w:rPr>
      </w:pPr>
      <w:r w:rsidRPr="00F9751E">
        <w:rPr>
          <w:b/>
          <w:bCs/>
        </w:rPr>
        <w:t xml:space="preserve">Tableau 2 : </w:t>
      </w:r>
      <w:r w:rsidRPr="00413A64">
        <w:rPr>
          <w:b/>
          <w:bCs/>
        </w:rPr>
        <w:t xml:space="preserve">Fréquences </w:t>
      </w:r>
      <w:r w:rsidRPr="00413A64">
        <w:rPr>
          <w:b/>
          <w:bCs/>
        </w:rPr>
        <w:sym w:font="Symbol" w:char="F067"/>
      </w:r>
      <w:r>
        <w:rPr>
          <w:b/>
          <w:bCs/>
        </w:rPr>
        <w:t xml:space="preserve"> (CH) d’alcènes </w:t>
      </w:r>
      <w:r w:rsidRPr="00413A64">
        <w:rPr>
          <w:b/>
          <w:bCs/>
        </w:rPr>
        <w:t xml:space="preserve">en fonction de </w:t>
      </w:r>
      <w:r>
        <w:rPr>
          <w:b/>
          <w:bCs/>
        </w:rPr>
        <w:t xml:space="preserve">la position des </w:t>
      </w:r>
      <w:proofErr w:type="spellStart"/>
      <w:r w:rsidRPr="005E781D">
        <w:rPr>
          <w:b/>
          <w:bCs/>
        </w:rPr>
        <w:t>substituants</w:t>
      </w:r>
      <w:proofErr w:type="spellEnd"/>
    </w:p>
    <w:p w:rsidR="00C44384" w:rsidRPr="00F9751E" w:rsidRDefault="00C44384" w:rsidP="00C44384">
      <w:pPr>
        <w:ind w:right="72"/>
        <w:jc w:val="center"/>
        <w:rPr>
          <w:b/>
          <w:bCs/>
        </w:rPr>
      </w:pPr>
    </w:p>
    <w:p w:rsidR="00C44384" w:rsidRPr="00314419" w:rsidRDefault="00C44384" w:rsidP="00C44384">
      <w:pPr>
        <w:spacing w:line="360" w:lineRule="auto"/>
        <w:ind w:left="360"/>
        <w:rPr>
          <w:b/>
          <w:bCs/>
          <w:sz w:val="28"/>
          <w:szCs w:val="28"/>
        </w:rPr>
      </w:pPr>
      <w:r w:rsidRPr="00314419">
        <w:rPr>
          <w:b/>
          <w:bCs/>
          <w:sz w:val="28"/>
          <w:szCs w:val="28"/>
        </w:rPr>
        <w:t>III - LES ALCYNES</w:t>
      </w:r>
    </w:p>
    <w:p w:rsidR="00C44384" w:rsidRDefault="00C44384" w:rsidP="00C44384">
      <w:pPr>
        <w:spacing w:before="100" w:beforeAutospacing="1" w:after="100" w:afterAutospacing="1" w:line="360" w:lineRule="auto"/>
        <w:jc w:val="both"/>
        <w:rPr>
          <w:color w:val="000000"/>
        </w:rPr>
      </w:pPr>
      <w:r>
        <w:rPr>
          <w:color w:val="000000"/>
        </w:rPr>
        <w:tab/>
      </w:r>
      <w:r w:rsidRPr="00CE74C6">
        <w:rPr>
          <w:color w:val="000000"/>
        </w:rPr>
        <w:t>Dans le cas des alcynes, composés présentant une triple liaison -C</w:t>
      </w:r>
      <w:r>
        <w:rPr>
          <w:noProof/>
          <w:color w:val="000000"/>
        </w:rPr>
        <w:drawing>
          <wp:inline distT="0" distB="0" distL="0" distR="0">
            <wp:extent cx="85725" cy="66675"/>
            <wp:effectExtent l="19050" t="0" r="9525" b="0"/>
            <wp:docPr id="68" name="Image 68" descr="trip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triple"/>
                    <pic:cNvPicPr>
                      <a:picLocks noChangeAspect="1" noChangeArrowheads="1"/>
                    </pic:cNvPicPr>
                  </pic:nvPicPr>
                  <pic:blipFill>
                    <a:blip r:embed="rId37" cstate="print"/>
                    <a:srcRect/>
                    <a:stretch>
                      <a:fillRect/>
                    </a:stretch>
                  </pic:blipFill>
                  <pic:spPr bwMode="auto">
                    <a:xfrm>
                      <a:off x="0" y="0"/>
                      <a:ext cx="85725" cy="66675"/>
                    </a:xfrm>
                    <a:prstGeom prst="rect">
                      <a:avLst/>
                    </a:prstGeom>
                    <a:noFill/>
                    <a:ln w="9525">
                      <a:noFill/>
                      <a:miter lim="800000"/>
                      <a:headEnd/>
                      <a:tailEnd/>
                    </a:ln>
                  </pic:spPr>
                </pic:pic>
              </a:graphicData>
            </a:graphic>
          </wp:inline>
        </w:drawing>
      </w:r>
      <w:r w:rsidRPr="00CE74C6">
        <w:rPr>
          <w:color w:val="000000"/>
        </w:rPr>
        <w:t>C-, et des groupements alkyles (comportant des &gt;CH-, -CH</w:t>
      </w:r>
      <w:r w:rsidRPr="00CE74C6">
        <w:rPr>
          <w:color w:val="000000"/>
          <w:vertAlign w:val="subscript"/>
        </w:rPr>
        <w:t>2</w:t>
      </w:r>
      <w:r w:rsidRPr="00CE74C6">
        <w:rPr>
          <w:color w:val="000000"/>
        </w:rPr>
        <w:t>-, et -CH</w:t>
      </w:r>
      <w:r w:rsidRPr="00CE74C6">
        <w:rPr>
          <w:color w:val="000000"/>
          <w:vertAlign w:val="subscript"/>
        </w:rPr>
        <w:t>3</w:t>
      </w:r>
      <w:r>
        <w:rPr>
          <w:color w:val="000000"/>
        </w:rPr>
        <w:t xml:space="preserve">.), on observera </w:t>
      </w:r>
      <w:r w:rsidRPr="00CE74C6">
        <w:rPr>
          <w:color w:val="000000"/>
        </w:rPr>
        <w:t>les bandes d'absorptions des vibrations dues</w:t>
      </w:r>
      <w:r>
        <w:rPr>
          <w:color w:val="000000"/>
        </w:rPr>
        <w:t xml:space="preserve"> à ces derniers;</w:t>
      </w:r>
      <w:r w:rsidRPr="00CE74C6">
        <w:rPr>
          <w:color w:val="000000"/>
        </w:rPr>
        <w:t xml:space="preserve"> mais également les bandes d'absorption (élongation et déformation) dues aux vibrations du </w:t>
      </w:r>
      <w:r>
        <w:rPr>
          <w:color w:val="000000"/>
        </w:rPr>
        <w:t xml:space="preserve">vibrateur </w:t>
      </w:r>
      <w:r>
        <w:rPr>
          <w:noProof/>
          <w:color w:val="000000"/>
        </w:rPr>
        <w:drawing>
          <wp:inline distT="0" distB="0" distL="0" distR="0">
            <wp:extent cx="85725" cy="66675"/>
            <wp:effectExtent l="19050" t="0" r="9525" b="0"/>
            <wp:docPr id="69" name="Image 69" descr="trip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triple"/>
                    <pic:cNvPicPr>
                      <a:picLocks noChangeAspect="1" noChangeArrowheads="1"/>
                    </pic:cNvPicPr>
                  </pic:nvPicPr>
                  <pic:blipFill>
                    <a:blip r:embed="rId37" cstate="print"/>
                    <a:srcRect/>
                    <a:stretch>
                      <a:fillRect/>
                    </a:stretch>
                  </pic:blipFill>
                  <pic:spPr bwMode="auto">
                    <a:xfrm>
                      <a:off x="0" y="0"/>
                      <a:ext cx="85725" cy="66675"/>
                    </a:xfrm>
                    <a:prstGeom prst="rect">
                      <a:avLst/>
                    </a:prstGeom>
                    <a:noFill/>
                    <a:ln w="9525">
                      <a:noFill/>
                      <a:miter lim="800000"/>
                      <a:headEnd/>
                      <a:tailEnd/>
                    </a:ln>
                  </pic:spPr>
                </pic:pic>
              </a:graphicData>
            </a:graphic>
          </wp:inline>
        </w:drawing>
      </w:r>
      <w:r w:rsidRPr="00CE74C6">
        <w:rPr>
          <w:color w:val="000000"/>
        </w:rPr>
        <w:t xml:space="preserve">C-H dans le cas des alcynes vrais, et la bande d'absorption due à l'élongation du </w:t>
      </w:r>
      <w:r>
        <w:rPr>
          <w:color w:val="000000"/>
        </w:rPr>
        <w:t xml:space="preserve">vibrateur </w:t>
      </w:r>
      <w:r w:rsidRPr="00CE74C6">
        <w:rPr>
          <w:color w:val="000000"/>
        </w:rPr>
        <w:t>-C</w:t>
      </w:r>
      <w:r>
        <w:rPr>
          <w:noProof/>
          <w:color w:val="000000"/>
        </w:rPr>
        <w:drawing>
          <wp:inline distT="0" distB="0" distL="0" distR="0">
            <wp:extent cx="85725" cy="66675"/>
            <wp:effectExtent l="19050" t="0" r="9525" b="0"/>
            <wp:docPr id="70" name="Image 70" descr="trip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descr="triple"/>
                    <pic:cNvPicPr>
                      <a:picLocks noChangeAspect="1" noChangeArrowheads="1"/>
                    </pic:cNvPicPr>
                  </pic:nvPicPr>
                  <pic:blipFill>
                    <a:blip r:embed="rId37" cstate="print"/>
                    <a:srcRect/>
                    <a:stretch>
                      <a:fillRect/>
                    </a:stretch>
                  </pic:blipFill>
                  <pic:spPr bwMode="auto">
                    <a:xfrm>
                      <a:off x="0" y="0"/>
                      <a:ext cx="85725" cy="66675"/>
                    </a:xfrm>
                    <a:prstGeom prst="rect">
                      <a:avLst/>
                    </a:prstGeom>
                    <a:noFill/>
                    <a:ln w="9525">
                      <a:noFill/>
                      <a:miter lim="800000"/>
                      <a:headEnd/>
                      <a:tailEnd/>
                    </a:ln>
                  </pic:spPr>
                </pic:pic>
              </a:graphicData>
            </a:graphic>
          </wp:inline>
        </w:drawing>
      </w:r>
      <w:r w:rsidRPr="00CE74C6">
        <w:rPr>
          <w:color w:val="000000"/>
        </w:rPr>
        <w:t xml:space="preserve">C-. </w:t>
      </w:r>
      <w:r>
        <w:rPr>
          <w:color w:val="000000"/>
        </w:rPr>
        <w:t xml:space="preserve"> </w:t>
      </w:r>
    </w:p>
    <w:p w:rsidR="00C44384" w:rsidRPr="006E0DBB" w:rsidRDefault="00C44384" w:rsidP="00302B1E">
      <w:pPr>
        <w:spacing w:before="100" w:beforeAutospacing="1" w:after="100" w:afterAutospacing="1" w:line="360" w:lineRule="auto"/>
        <w:ind w:right="-144"/>
        <w:jc w:val="both"/>
        <w:rPr>
          <w:color w:val="000000"/>
        </w:rPr>
      </w:pPr>
      <w:r w:rsidRPr="00314419">
        <w:rPr>
          <w:b/>
          <w:bCs/>
          <w:color w:val="000000"/>
          <w:sz w:val="28"/>
          <w:szCs w:val="28"/>
        </w:rPr>
        <w:t>III – 1 - Les vibrations de valence des vibrateurs C</w:t>
      </w:r>
      <w:r w:rsidRPr="00314419">
        <w:rPr>
          <w:b/>
          <w:bCs/>
          <w:color w:val="000000"/>
          <w:sz w:val="28"/>
          <w:szCs w:val="28"/>
        </w:rPr>
        <w:sym w:font="Symbol" w:char="F0BA"/>
      </w:r>
      <w:r w:rsidRPr="00314419">
        <w:rPr>
          <w:b/>
          <w:bCs/>
          <w:color w:val="000000"/>
          <w:sz w:val="28"/>
          <w:szCs w:val="28"/>
        </w:rPr>
        <w:t>C</w:t>
      </w:r>
    </w:p>
    <w:p w:rsidR="00C44384" w:rsidRDefault="00C44384" w:rsidP="00C44384">
      <w:pPr>
        <w:spacing w:before="100" w:beforeAutospacing="1" w:after="100" w:afterAutospacing="1" w:line="360" w:lineRule="auto"/>
        <w:jc w:val="both"/>
        <w:rPr>
          <w:color w:val="000000"/>
        </w:rPr>
      </w:pPr>
      <w:r>
        <w:rPr>
          <w:b/>
          <w:bCs/>
          <w:color w:val="000000"/>
        </w:rPr>
        <w:tab/>
      </w:r>
      <w:r>
        <w:rPr>
          <w:color w:val="000000"/>
        </w:rPr>
        <w:t xml:space="preserve">La </w:t>
      </w:r>
      <w:r w:rsidRPr="000C2863">
        <w:rPr>
          <w:color w:val="000000"/>
        </w:rPr>
        <w:t xml:space="preserve">bande </w:t>
      </w:r>
      <w:r>
        <w:rPr>
          <w:color w:val="000000"/>
        </w:rPr>
        <w:t xml:space="preserve">d’intensité moyenne correspondant à la vibration de valence du vibrateur </w:t>
      </w:r>
      <w:r>
        <w:rPr>
          <w:b/>
          <w:bCs/>
          <w:color w:val="000000"/>
        </w:rPr>
        <w:t>C</w:t>
      </w:r>
      <w:r>
        <w:rPr>
          <w:b/>
          <w:bCs/>
          <w:color w:val="000000"/>
        </w:rPr>
        <w:sym w:font="Symbol" w:char="F0BA"/>
      </w:r>
      <w:r w:rsidRPr="00F30D0A">
        <w:rPr>
          <w:b/>
          <w:bCs/>
          <w:color w:val="000000"/>
        </w:rPr>
        <w:t>C</w:t>
      </w:r>
      <w:r>
        <w:rPr>
          <w:b/>
          <w:bCs/>
          <w:color w:val="000000"/>
        </w:rPr>
        <w:t xml:space="preserve"> </w:t>
      </w:r>
      <w:r w:rsidRPr="003745AA">
        <w:rPr>
          <w:color w:val="000000"/>
        </w:rPr>
        <w:t>d’</w:t>
      </w:r>
      <w:r>
        <w:rPr>
          <w:color w:val="000000"/>
        </w:rPr>
        <w:t>alcyne vrai apparaît dans la région allant de 2140 à 2100 cm</w:t>
      </w:r>
      <w:r>
        <w:rPr>
          <w:color w:val="000000"/>
          <w:vertAlign w:val="superscript"/>
        </w:rPr>
        <w:t>-</w:t>
      </w:r>
      <w:smartTag w:uri="urn:schemas-microsoft-com:office:smarttags" w:element="metricconverter">
        <w:smartTagPr>
          <w:attr w:name="ProductID" w:val="1. A"/>
        </w:smartTagPr>
        <w:r>
          <w:rPr>
            <w:color w:val="000000"/>
            <w:vertAlign w:val="superscript"/>
          </w:rPr>
          <w:t>1</w:t>
        </w:r>
        <w:r>
          <w:rPr>
            <w:color w:val="000000"/>
          </w:rPr>
          <w:t>. A</w:t>
        </w:r>
      </w:smartTag>
      <w:r>
        <w:rPr>
          <w:color w:val="000000"/>
        </w:rPr>
        <w:t xml:space="preserve"> cause de la symétrie, aucune bande </w:t>
      </w:r>
      <w:r>
        <w:rPr>
          <w:b/>
          <w:bCs/>
          <w:color w:val="000000"/>
        </w:rPr>
        <w:t>C</w:t>
      </w:r>
      <w:r>
        <w:rPr>
          <w:b/>
          <w:bCs/>
          <w:color w:val="000000"/>
        </w:rPr>
        <w:sym w:font="Symbol" w:char="F0BA"/>
      </w:r>
      <w:r w:rsidRPr="00F30D0A">
        <w:rPr>
          <w:b/>
          <w:bCs/>
          <w:color w:val="000000"/>
        </w:rPr>
        <w:t>C</w:t>
      </w:r>
      <w:r>
        <w:rPr>
          <w:b/>
          <w:bCs/>
          <w:color w:val="000000"/>
        </w:rPr>
        <w:t xml:space="preserve"> </w:t>
      </w:r>
      <w:r>
        <w:rPr>
          <w:color w:val="000000"/>
        </w:rPr>
        <w:t xml:space="preserve">ne s’observe en IR pour les alcynes substitués de façon symétrique. Les alcynes </w:t>
      </w:r>
      <w:proofErr w:type="spellStart"/>
      <w:r>
        <w:rPr>
          <w:color w:val="000000"/>
        </w:rPr>
        <w:t>bisubstituées</w:t>
      </w:r>
      <w:proofErr w:type="spellEnd"/>
      <w:r>
        <w:rPr>
          <w:color w:val="000000"/>
        </w:rPr>
        <w:t xml:space="preserve">, dans lesquels les </w:t>
      </w:r>
      <w:proofErr w:type="spellStart"/>
      <w:r>
        <w:rPr>
          <w:color w:val="000000"/>
        </w:rPr>
        <w:t>substituants</w:t>
      </w:r>
      <w:proofErr w:type="spellEnd"/>
      <w:r>
        <w:rPr>
          <w:color w:val="000000"/>
        </w:rPr>
        <w:t xml:space="preserve"> sont différents, absorbent entre 2200-2260 </w:t>
      </w:r>
      <w:r>
        <w:rPr>
          <w:color w:val="000000"/>
          <w:vertAlign w:val="superscript"/>
        </w:rPr>
        <w:t xml:space="preserve"> </w:t>
      </w:r>
      <w:r>
        <w:rPr>
          <w:color w:val="000000"/>
        </w:rPr>
        <w:t>cm</w:t>
      </w:r>
      <w:r>
        <w:rPr>
          <w:color w:val="000000"/>
          <w:vertAlign w:val="superscript"/>
        </w:rPr>
        <w:t>-1</w:t>
      </w:r>
      <w:r>
        <w:rPr>
          <w:color w:val="000000"/>
        </w:rPr>
        <w:t xml:space="preserve">.  </w:t>
      </w:r>
    </w:p>
    <w:p w:rsidR="00C44384" w:rsidRPr="00314419" w:rsidRDefault="00C44384" w:rsidP="00C44384">
      <w:pPr>
        <w:spacing w:before="100" w:beforeAutospacing="1" w:after="100" w:afterAutospacing="1" w:line="360" w:lineRule="auto"/>
        <w:jc w:val="both"/>
        <w:rPr>
          <w:b/>
          <w:bCs/>
          <w:color w:val="000000"/>
          <w:sz w:val="28"/>
          <w:szCs w:val="28"/>
        </w:rPr>
      </w:pPr>
      <w:r w:rsidRPr="00314419">
        <w:rPr>
          <w:b/>
          <w:bCs/>
          <w:color w:val="000000"/>
          <w:sz w:val="28"/>
          <w:szCs w:val="28"/>
        </w:rPr>
        <w:t xml:space="preserve">III – </w:t>
      </w:r>
      <w:r w:rsidRPr="00314419">
        <w:rPr>
          <w:rFonts w:hint="cs"/>
          <w:b/>
          <w:bCs/>
          <w:color w:val="000000"/>
          <w:sz w:val="28"/>
          <w:szCs w:val="28"/>
          <w:rtl/>
        </w:rPr>
        <w:t>2</w:t>
      </w:r>
      <w:r w:rsidRPr="00314419">
        <w:rPr>
          <w:b/>
          <w:bCs/>
          <w:color w:val="000000"/>
          <w:sz w:val="28"/>
          <w:szCs w:val="28"/>
        </w:rPr>
        <w:t xml:space="preserve"> -</w:t>
      </w:r>
      <w:r w:rsidRPr="00314419">
        <w:rPr>
          <w:color w:val="000000"/>
          <w:sz w:val="28"/>
          <w:szCs w:val="28"/>
        </w:rPr>
        <w:t xml:space="preserve"> </w:t>
      </w:r>
      <w:r w:rsidRPr="00314419">
        <w:rPr>
          <w:b/>
          <w:bCs/>
          <w:color w:val="000000"/>
          <w:sz w:val="28"/>
          <w:szCs w:val="28"/>
        </w:rPr>
        <w:t xml:space="preserve">Les vibrations de valence des vibrateurs </w:t>
      </w:r>
      <w:r w:rsidRPr="00314419">
        <w:rPr>
          <w:b/>
          <w:bCs/>
          <w:color w:val="000000"/>
          <w:sz w:val="28"/>
          <w:szCs w:val="28"/>
        </w:rPr>
        <w:sym w:font="Symbol" w:char="F0BA"/>
      </w:r>
      <w:r w:rsidRPr="00314419">
        <w:rPr>
          <w:b/>
          <w:bCs/>
          <w:color w:val="000000"/>
          <w:sz w:val="28"/>
          <w:szCs w:val="28"/>
        </w:rPr>
        <w:t>C-H</w:t>
      </w:r>
    </w:p>
    <w:p w:rsidR="00C44384" w:rsidRDefault="00C44384" w:rsidP="00C44384">
      <w:pPr>
        <w:spacing w:before="100" w:beforeAutospacing="1" w:after="100" w:afterAutospacing="1" w:line="360" w:lineRule="auto"/>
        <w:jc w:val="both"/>
        <w:rPr>
          <w:color w:val="000000"/>
        </w:rPr>
      </w:pPr>
      <w:r>
        <w:rPr>
          <w:color w:val="000000"/>
        </w:rPr>
        <w:tab/>
        <w:t xml:space="preserve">La vibration de valence du vibrateur </w:t>
      </w:r>
      <w:r>
        <w:rPr>
          <w:b/>
          <w:bCs/>
          <w:color w:val="000000"/>
        </w:rPr>
        <w:sym w:font="Symbol" w:char="F0BA"/>
      </w:r>
      <w:r w:rsidRPr="00F30D0A">
        <w:rPr>
          <w:b/>
          <w:bCs/>
          <w:color w:val="000000"/>
        </w:rPr>
        <w:t>C</w:t>
      </w:r>
      <w:r>
        <w:rPr>
          <w:b/>
          <w:bCs/>
          <w:color w:val="000000"/>
        </w:rPr>
        <w:t>-H</w:t>
      </w:r>
      <w:r>
        <w:rPr>
          <w:color w:val="000000"/>
        </w:rPr>
        <w:t xml:space="preserve"> d’alcyne monosubstituées apparaît entre 3330 et 3260 cm</w:t>
      </w:r>
      <w:r>
        <w:rPr>
          <w:color w:val="000000"/>
          <w:vertAlign w:val="superscript"/>
        </w:rPr>
        <w:t>-1</w:t>
      </w:r>
      <w:r>
        <w:rPr>
          <w:color w:val="000000"/>
        </w:rPr>
        <w:t>. C’est une bande intense plus étroite que celles des OH et NH, impliqués dans des liaisons hydrogène, apparaissant dans la même région.</w:t>
      </w:r>
    </w:p>
    <w:p w:rsidR="00C44384" w:rsidRPr="00314419" w:rsidRDefault="00C44384" w:rsidP="00C44384">
      <w:pPr>
        <w:spacing w:before="100" w:beforeAutospacing="1" w:after="100" w:afterAutospacing="1" w:line="360" w:lineRule="auto"/>
        <w:jc w:val="both"/>
        <w:rPr>
          <w:b/>
          <w:bCs/>
          <w:color w:val="000000"/>
          <w:sz w:val="28"/>
          <w:szCs w:val="28"/>
        </w:rPr>
      </w:pPr>
      <w:r w:rsidRPr="00314419">
        <w:rPr>
          <w:b/>
          <w:bCs/>
          <w:color w:val="000000"/>
          <w:sz w:val="28"/>
          <w:szCs w:val="28"/>
        </w:rPr>
        <w:lastRenderedPageBreak/>
        <w:t xml:space="preserve">III – </w:t>
      </w:r>
      <w:r w:rsidRPr="00314419">
        <w:rPr>
          <w:rFonts w:hint="cs"/>
          <w:b/>
          <w:bCs/>
          <w:color w:val="000000"/>
          <w:sz w:val="28"/>
          <w:szCs w:val="28"/>
          <w:rtl/>
        </w:rPr>
        <w:t>3</w:t>
      </w:r>
      <w:r w:rsidRPr="00314419">
        <w:rPr>
          <w:b/>
          <w:bCs/>
          <w:color w:val="000000"/>
          <w:sz w:val="28"/>
          <w:szCs w:val="28"/>
        </w:rPr>
        <w:t xml:space="preserve"> - Les vibrations de déformation des vibrateurs </w:t>
      </w:r>
      <w:r w:rsidRPr="00314419">
        <w:rPr>
          <w:b/>
          <w:bCs/>
          <w:color w:val="000000"/>
          <w:sz w:val="28"/>
          <w:szCs w:val="28"/>
        </w:rPr>
        <w:sym w:font="Symbol" w:char="F0BA"/>
      </w:r>
      <w:r w:rsidRPr="00314419">
        <w:rPr>
          <w:b/>
          <w:bCs/>
          <w:color w:val="000000"/>
          <w:sz w:val="28"/>
          <w:szCs w:val="28"/>
        </w:rPr>
        <w:t>C-H</w:t>
      </w:r>
    </w:p>
    <w:p w:rsidR="00C44384" w:rsidRPr="006C1A54" w:rsidRDefault="00C44384" w:rsidP="00C44384">
      <w:pPr>
        <w:spacing w:before="100" w:beforeAutospacing="1" w:after="100" w:afterAutospacing="1" w:line="360" w:lineRule="auto"/>
        <w:jc w:val="both"/>
        <w:rPr>
          <w:color w:val="FF0000"/>
        </w:rPr>
      </w:pPr>
      <w:r>
        <w:rPr>
          <w:color w:val="000000"/>
        </w:rPr>
        <w:tab/>
      </w:r>
      <w:r w:rsidRPr="001044E0">
        <w:rPr>
          <w:color w:val="000000"/>
        </w:rPr>
        <w:t>Les vibrations de déformation</w:t>
      </w:r>
      <w:r>
        <w:rPr>
          <w:color w:val="000000"/>
        </w:rPr>
        <w:t xml:space="preserve"> hors du plan </w:t>
      </w:r>
      <w:r>
        <w:rPr>
          <w:color w:val="000000"/>
        </w:rPr>
        <w:sym w:font="Symbol" w:char="F067"/>
      </w:r>
      <w:r w:rsidRPr="001044E0">
        <w:rPr>
          <w:b/>
          <w:bCs/>
          <w:color w:val="000000"/>
          <w:vertAlign w:val="subscript"/>
        </w:rPr>
        <w:sym w:font="Symbol" w:char="F0BA"/>
      </w:r>
      <w:r w:rsidRPr="001044E0">
        <w:rPr>
          <w:color w:val="000000"/>
          <w:vertAlign w:val="subscript"/>
        </w:rPr>
        <w:t xml:space="preserve">C-H </w:t>
      </w:r>
      <w:r>
        <w:rPr>
          <w:color w:val="000000"/>
        </w:rPr>
        <w:t>des alcynes, ou des alcynes monosubstituées, donnent de larges absorptions intenses entre 700 et 610 cm</w:t>
      </w:r>
      <w:r>
        <w:rPr>
          <w:color w:val="000000"/>
          <w:vertAlign w:val="superscript"/>
        </w:rPr>
        <w:t>-1</w:t>
      </w:r>
      <w:r>
        <w:rPr>
          <w:color w:val="000000"/>
        </w:rPr>
        <w:t xml:space="preserve">. </w:t>
      </w:r>
    </w:p>
    <w:p w:rsidR="00C44384" w:rsidRDefault="00C44384" w:rsidP="00C44384">
      <w:pPr>
        <w:spacing w:before="100" w:beforeAutospacing="1" w:after="100" w:afterAutospacing="1" w:line="360" w:lineRule="auto"/>
        <w:jc w:val="both"/>
      </w:pPr>
      <w:r w:rsidRPr="002776D2">
        <w:rPr>
          <w:lang w:val="pt-BR"/>
        </w:rPr>
        <w:tab/>
      </w:r>
      <w:r w:rsidRPr="00AB0741">
        <w:t xml:space="preserve">Si la molécule possède un axe supérieur à deux, le mode de déformation </w:t>
      </w:r>
      <w:r w:rsidRPr="00AB0741">
        <w:sym w:font="Symbol" w:char="F067"/>
      </w:r>
      <w:r w:rsidRPr="00AB0741">
        <w:rPr>
          <w:b/>
          <w:bCs/>
          <w:vertAlign w:val="subscript"/>
        </w:rPr>
        <w:sym w:font="Symbol" w:char="F0BA"/>
      </w:r>
      <w:r w:rsidRPr="00AB0741">
        <w:rPr>
          <w:vertAlign w:val="subscript"/>
        </w:rPr>
        <w:t>C-H</w:t>
      </w:r>
      <w:r w:rsidRPr="00AB0741">
        <w:t xml:space="preserve"> est dégénéré. Si la substitution détruit la symétrie axiale, la dégénérescence est levée. Ainsi, le </w:t>
      </w:r>
      <w:proofErr w:type="spellStart"/>
      <w:r w:rsidRPr="00AB0741">
        <w:t>phénylacétylène</w:t>
      </w:r>
      <w:proofErr w:type="spellEnd"/>
      <w:r w:rsidRPr="00AB0741">
        <w:t xml:space="preserve"> liquide donne deux bandes pour ce mode à 655 et 621 cm</w:t>
      </w:r>
      <w:r w:rsidRPr="00AB0741">
        <w:rPr>
          <w:vertAlign w:val="superscript"/>
        </w:rPr>
        <w:t>-1</w:t>
      </w:r>
      <w:r w:rsidRPr="00AB0741">
        <w:t xml:space="preserve">. </w:t>
      </w:r>
    </w:p>
    <w:p w:rsidR="00C44384" w:rsidRPr="00F9751E" w:rsidRDefault="00C44384" w:rsidP="00C44384">
      <w:pPr>
        <w:spacing w:before="100" w:beforeAutospacing="1" w:after="100" w:afterAutospacing="1" w:line="360" w:lineRule="auto"/>
        <w:rPr>
          <w:b/>
          <w:bCs/>
          <w:color w:val="000000"/>
          <w:sz w:val="28"/>
          <w:szCs w:val="28"/>
        </w:rPr>
      </w:pPr>
      <w:r w:rsidRPr="00314419">
        <w:rPr>
          <w:b/>
          <w:bCs/>
          <w:color w:val="000000"/>
          <w:sz w:val="28"/>
          <w:szCs w:val="28"/>
        </w:rPr>
        <w:t>IV – LES HYDROCARBURES AROMATIQUES</w:t>
      </w:r>
    </w:p>
    <w:p w:rsidR="00C44384" w:rsidRPr="00C37178" w:rsidRDefault="00C44384" w:rsidP="00C44384">
      <w:pPr>
        <w:spacing w:before="100" w:beforeAutospacing="1" w:after="100" w:afterAutospacing="1" w:line="360" w:lineRule="auto"/>
        <w:jc w:val="both"/>
        <w:rPr>
          <w:color w:val="000000"/>
          <w:vertAlign w:val="subscript"/>
        </w:rPr>
      </w:pPr>
      <w:r>
        <w:rPr>
          <w:color w:val="000000"/>
        </w:rPr>
        <w:tab/>
      </w:r>
      <w:r w:rsidRPr="00C87E61">
        <w:rPr>
          <w:color w:val="000000"/>
        </w:rPr>
        <w:t>Pour les aromatiques, on a le même type de bande qu</w:t>
      </w:r>
      <w:r>
        <w:rPr>
          <w:color w:val="000000"/>
        </w:rPr>
        <w:t>e pour les alcènes. Les bandes de déformation angulaire dans le plan apparaissent entre 1300 et 1000 cm</w:t>
      </w:r>
      <w:r>
        <w:rPr>
          <w:color w:val="000000"/>
          <w:vertAlign w:val="superscript"/>
        </w:rPr>
        <w:t>-1</w:t>
      </w:r>
      <w:r>
        <w:rPr>
          <w:color w:val="000000"/>
        </w:rPr>
        <w:t xml:space="preserve">. Les vibrations du squelette, impliquant des </w:t>
      </w:r>
      <w:r w:rsidRPr="00AB0741">
        <w:t>élongations carbone</w:t>
      </w:r>
      <w:r>
        <w:rPr>
          <w:color w:val="000000"/>
        </w:rPr>
        <w:t xml:space="preserve"> à l’intérieur du cycle, absorbent entre 1600 et 1585 cm</w:t>
      </w:r>
      <w:r>
        <w:rPr>
          <w:color w:val="000000"/>
          <w:vertAlign w:val="superscript"/>
        </w:rPr>
        <w:t>-1</w:t>
      </w:r>
      <w:r>
        <w:rPr>
          <w:color w:val="000000"/>
        </w:rPr>
        <w:t xml:space="preserve"> et entre 1500 et 1400 cm</w:t>
      </w:r>
      <w:r>
        <w:rPr>
          <w:color w:val="000000"/>
          <w:vertAlign w:val="superscript"/>
        </w:rPr>
        <w:t>-1</w:t>
      </w:r>
      <w:r>
        <w:rPr>
          <w:color w:val="000000"/>
        </w:rPr>
        <w:t xml:space="preserve">. Les bandes du squelette apparaissent fréquemment comme des doublets, dépendant de la nature des </w:t>
      </w:r>
      <w:proofErr w:type="spellStart"/>
      <w:r>
        <w:rPr>
          <w:color w:val="000000"/>
        </w:rPr>
        <w:t>substituants</w:t>
      </w:r>
      <w:proofErr w:type="spellEnd"/>
      <w:r>
        <w:rPr>
          <w:color w:val="000000"/>
        </w:rPr>
        <w:t xml:space="preserve"> du cycle. Les  bandes d’élongation des C-H aromatiques </w:t>
      </w:r>
      <w:proofErr w:type="spellStart"/>
      <w:r>
        <w:rPr>
          <w:color w:val="000000"/>
        </w:rPr>
        <w:t>apparaîssent</w:t>
      </w:r>
      <w:proofErr w:type="spellEnd"/>
      <w:r>
        <w:rPr>
          <w:color w:val="000000"/>
        </w:rPr>
        <w:t xml:space="preserve"> entre 3100 et 3000 cm</w:t>
      </w:r>
      <w:r>
        <w:rPr>
          <w:color w:val="000000"/>
          <w:vertAlign w:val="superscript"/>
        </w:rPr>
        <w:t>-1</w:t>
      </w:r>
      <w:r>
        <w:rPr>
          <w:color w:val="000000"/>
          <w:vertAlign w:val="subscript"/>
        </w:rPr>
        <w:t>.</w:t>
      </w:r>
    </w:p>
    <w:p w:rsidR="00C44384" w:rsidRDefault="00C44384" w:rsidP="00C44384">
      <w:pPr>
        <w:spacing w:line="360" w:lineRule="auto"/>
        <w:ind w:left="360"/>
        <w:jc w:val="center"/>
        <w:rPr>
          <w:sz w:val="28"/>
          <w:szCs w:val="28"/>
        </w:rPr>
      </w:pPr>
      <w:r>
        <w:rPr>
          <w:noProof/>
          <w:sz w:val="28"/>
          <w:szCs w:val="28"/>
        </w:rPr>
        <w:drawing>
          <wp:inline distT="0" distB="0" distL="0" distR="0">
            <wp:extent cx="5762625" cy="2714625"/>
            <wp:effectExtent l="19050" t="0" r="9525" b="0"/>
            <wp:docPr id="71" name="Imag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pic:cNvPicPr>
                      <a:picLocks noChangeAspect="1" noChangeArrowheads="1"/>
                    </pic:cNvPicPr>
                  </pic:nvPicPr>
                  <pic:blipFill>
                    <a:blip r:embed="rId46" cstate="print"/>
                    <a:srcRect/>
                    <a:stretch>
                      <a:fillRect/>
                    </a:stretch>
                  </pic:blipFill>
                  <pic:spPr bwMode="auto">
                    <a:xfrm>
                      <a:off x="0" y="0"/>
                      <a:ext cx="5762625" cy="2714625"/>
                    </a:xfrm>
                    <a:prstGeom prst="rect">
                      <a:avLst/>
                    </a:prstGeom>
                    <a:noFill/>
                    <a:ln w="9525">
                      <a:noFill/>
                      <a:miter lim="800000"/>
                      <a:headEnd/>
                      <a:tailEnd/>
                    </a:ln>
                  </pic:spPr>
                </pic:pic>
              </a:graphicData>
            </a:graphic>
          </wp:inline>
        </w:drawing>
      </w:r>
    </w:p>
    <w:p w:rsidR="00C44384" w:rsidRPr="00314419" w:rsidRDefault="00C44384" w:rsidP="00C44384">
      <w:pPr>
        <w:spacing w:line="360" w:lineRule="auto"/>
        <w:ind w:left="360"/>
        <w:jc w:val="center"/>
        <w:rPr>
          <w:b/>
          <w:bCs/>
        </w:rPr>
      </w:pPr>
      <w:r w:rsidRPr="00314419">
        <w:rPr>
          <w:b/>
          <w:bCs/>
        </w:rPr>
        <w:t>Figure </w:t>
      </w:r>
      <w:r>
        <w:rPr>
          <w:b/>
          <w:bCs/>
        </w:rPr>
        <w:t>5</w:t>
      </w:r>
      <w:r w:rsidRPr="00314419">
        <w:rPr>
          <w:b/>
          <w:bCs/>
        </w:rPr>
        <w:t xml:space="preserve">: Spectre infrarouge </w:t>
      </w:r>
      <w:proofErr w:type="gramStart"/>
      <w:r w:rsidRPr="00314419">
        <w:rPr>
          <w:b/>
          <w:bCs/>
        </w:rPr>
        <w:t>de o-xylène</w:t>
      </w:r>
      <w:proofErr w:type="gramEnd"/>
    </w:p>
    <w:p w:rsidR="00C44384" w:rsidRPr="001510DC" w:rsidRDefault="00C44384" w:rsidP="00C44384">
      <w:pPr>
        <w:spacing w:before="100" w:beforeAutospacing="1" w:after="100" w:afterAutospacing="1" w:line="360" w:lineRule="auto"/>
        <w:rPr>
          <w:color w:val="000000"/>
        </w:rPr>
      </w:pPr>
      <w:r w:rsidRPr="00C132B7">
        <w:rPr>
          <w:color w:val="000000"/>
        </w:rPr>
        <w:t xml:space="preserve">A : </w:t>
      </w:r>
      <w:r w:rsidRPr="003C2596">
        <w:rPr>
          <w:color w:val="000000"/>
        </w:rPr>
        <w:sym w:font="Symbol" w:char="F06E"/>
      </w:r>
      <w:r w:rsidRPr="00C132B7">
        <w:rPr>
          <w:color w:val="000000"/>
          <w:vertAlign w:val="subscript"/>
        </w:rPr>
        <w:t>C-</w:t>
      </w:r>
      <w:proofErr w:type="gramStart"/>
      <w:r w:rsidRPr="00C132B7">
        <w:rPr>
          <w:color w:val="000000"/>
          <w:vertAlign w:val="subscript"/>
        </w:rPr>
        <w:t>H</w:t>
      </w:r>
      <w:r w:rsidRPr="00C132B7">
        <w:rPr>
          <w:color w:val="000000"/>
        </w:rPr>
        <w:t>(</w:t>
      </w:r>
      <w:proofErr w:type="gramEnd"/>
      <w:r w:rsidRPr="00C132B7">
        <w:rPr>
          <w:color w:val="000000"/>
        </w:rPr>
        <w:t>aromatique)</w:t>
      </w:r>
      <w:r w:rsidRPr="00C132B7">
        <w:rPr>
          <w:color w:val="000000"/>
          <w:vertAlign w:val="subscript"/>
        </w:rPr>
        <w:t> </w:t>
      </w:r>
      <w:r w:rsidRPr="00C132B7">
        <w:rPr>
          <w:color w:val="000000"/>
        </w:rPr>
        <w:t>: 3008 cm</w:t>
      </w:r>
      <w:r w:rsidRPr="00C132B7">
        <w:rPr>
          <w:color w:val="000000"/>
          <w:vertAlign w:val="superscript"/>
        </w:rPr>
        <w:t xml:space="preserve">-1 </w:t>
      </w:r>
      <w:r w:rsidRPr="00C132B7">
        <w:rPr>
          <w:color w:val="000000"/>
        </w:rPr>
        <w:t xml:space="preserve">, B : </w:t>
      </w:r>
      <w:r w:rsidRPr="003C2596">
        <w:rPr>
          <w:color w:val="000000"/>
        </w:rPr>
        <w:sym w:font="Symbol" w:char="F06E"/>
      </w:r>
      <w:r w:rsidRPr="00C132B7">
        <w:rPr>
          <w:color w:val="000000"/>
          <w:vertAlign w:val="subscript"/>
        </w:rPr>
        <w:t>C-H </w:t>
      </w:r>
      <w:r w:rsidRPr="00C132B7">
        <w:rPr>
          <w:color w:val="000000"/>
        </w:rPr>
        <w:t>(méthyles) : 2965, 2940, 2918 et 2875 cm</w:t>
      </w:r>
      <w:r w:rsidRPr="00C132B7">
        <w:rPr>
          <w:color w:val="000000"/>
          <w:vertAlign w:val="superscript"/>
        </w:rPr>
        <w:t xml:space="preserve">-1 </w:t>
      </w:r>
      <w:r w:rsidRPr="00C132B7">
        <w:rPr>
          <w:color w:val="000000"/>
        </w:rPr>
        <w:t>, C :harmoniques ou combinaison</w:t>
      </w:r>
      <w:r>
        <w:rPr>
          <w:color w:val="000000"/>
        </w:rPr>
        <w:t>s : 2000-1667</w:t>
      </w:r>
      <w:r w:rsidRPr="00C132B7">
        <w:rPr>
          <w:color w:val="000000"/>
        </w:rPr>
        <w:t xml:space="preserve"> cm</w:t>
      </w:r>
      <w:r w:rsidRPr="00C132B7">
        <w:rPr>
          <w:color w:val="000000"/>
          <w:vertAlign w:val="superscript"/>
        </w:rPr>
        <w:t xml:space="preserve">-1 </w:t>
      </w:r>
      <w:r w:rsidRPr="00C132B7">
        <w:rPr>
          <w:color w:val="000000"/>
        </w:rPr>
        <w:t xml:space="preserve">, D : </w:t>
      </w:r>
      <w:r w:rsidRPr="003C2596">
        <w:rPr>
          <w:color w:val="000000"/>
        </w:rPr>
        <w:sym w:font="Symbol" w:char="F06E"/>
      </w:r>
      <w:r>
        <w:rPr>
          <w:color w:val="000000"/>
          <w:vertAlign w:val="subscript"/>
        </w:rPr>
        <w:t>C=C</w:t>
      </w:r>
      <w:r>
        <w:rPr>
          <w:color w:val="000000"/>
        </w:rPr>
        <w:t xml:space="preserve"> (cycle) : 1605, 1495, 1466 </w:t>
      </w:r>
      <w:r w:rsidRPr="00C132B7">
        <w:rPr>
          <w:color w:val="000000"/>
        </w:rPr>
        <w:t>cm</w:t>
      </w:r>
      <w:r w:rsidRPr="00C132B7">
        <w:rPr>
          <w:color w:val="000000"/>
          <w:vertAlign w:val="superscript"/>
        </w:rPr>
        <w:t>-1</w:t>
      </w:r>
      <w:r w:rsidRPr="00C132B7">
        <w:rPr>
          <w:color w:val="000000"/>
        </w:rPr>
        <w:t xml:space="preserve">, E : </w:t>
      </w:r>
      <w:r>
        <w:rPr>
          <w:color w:val="000000"/>
        </w:rPr>
        <w:sym w:font="Symbol" w:char="F064"/>
      </w:r>
      <w:r w:rsidRPr="00C132B7">
        <w:rPr>
          <w:color w:val="000000"/>
          <w:vertAlign w:val="subscript"/>
        </w:rPr>
        <w:t>C-H</w:t>
      </w:r>
      <w:r w:rsidRPr="00C132B7">
        <w:rPr>
          <w:color w:val="000000"/>
        </w:rPr>
        <w:t> </w:t>
      </w:r>
      <w:r>
        <w:rPr>
          <w:color w:val="000000"/>
        </w:rPr>
        <w:t>: 1052 et1022</w:t>
      </w:r>
      <w:r w:rsidRPr="00C132B7">
        <w:rPr>
          <w:color w:val="000000"/>
        </w:rPr>
        <w:t xml:space="preserve"> cm</w:t>
      </w:r>
      <w:r w:rsidRPr="00C132B7">
        <w:rPr>
          <w:color w:val="000000"/>
          <w:vertAlign w:val="superscript"/>
        </w:rPr>
        <w:t>-1</w:t>
      </w:r>
      <w:r>
        <w:rPr>
          <w:color w:val="000000"/>
        </w:rPr>
        <w:t xml:space="preserve">, F : </w:t>
      </w:r>
      <w:r w:rsidRPr="003C2596">
        <w:rPr>
          <w:color w:val="000000"/>
        </w:rPr>
        <w:sym w:font="Symbol" w:char="F067"/>
      </w:r>
      <w:r>
        <w:rPr>
          <w:color w:val="000000"/>
          <w:vertAlign w:val="subscript"/>
        </w:rPr>
        <w:t>=</w:t>
      </w:r>
      <w:r w:rsidRPr="00C132B7">
        <w:rPr>
          <w:color w:val="000000"/>
          <w:vertAlign w:val="subscript"/>
        </w:rPr>
        <w:t>C-H</w:t>
      </w:r>
      <w:r>
        <w:rPr>
          <w:color w:val="000000"/>
        </w:rPr>
        <w:t> : 741</w:t>
      </w:r>
      <w:r w:rsidRPr="00C132B7">
        <w:rPr>
          <w:color w:val="000000"/>
        </w:rPr>
        <w:t> cm</w:t>
      </w:r>
      <w:r w:rsidRPr="00C132B7">
        <w:rPr>
          <w:color w:val="000000"/>
          <w:vertAlign w:val="superscript"/>
        </w:rPr>
        <w:t>-1</w:t>
      </w:r>
      <w:r w:rsidRPr="00D61F08">
        <w:rPr>
          <w:color w:val="000000"/>
        </w:rPr>
        <w:t xml:space="preserve"> </w:t>
      </w:r>
      <w:r>
        <w:rPr>
          <w:color w:val="000000"/>
        </w:rPr>
        <w:t xml:space="preserve">,G : </w:t>
      </w:r>
      <w:r w:rsidRPr="003C2596">
        <w:rPr>
          <w:color w:val="000000"/>
        </w:rPr>
        <w:sym w:font="Symbol" w:char="F067"/>
      </w:r>
      <w:r w:rsidRPr="00E755E6">
        <w:rPr>
          <w:vertAlign w:val="subscript"/>
        </w:rPr>
        <w:t>C=C</w:t>
      </w:r>
      <w:r>
        <w:rPr>
          <w:color w:val="000000"/>
        </w:rPr>
        <w:t xml:space="preserve"> (cycle) </w:t>
      </w:r>
    </w:p>
    <w:p w:rsidR="00C44384" w:rsidRDefault="00C44384" w:rsidP="00C44384">
      <w:pPr>
        <w:spacing w:before="100" w:beforeAutospacing="1" w:after="100" w:afterAutospacing="1" w:line="360" w:lineRule="auto"/>
      </w:pPr>
      <w:r>
        <w:rPr>
          <w:color w:val="000000"/>
        </w:rPr>
        <w:lastRenderedPageBreak/>
        <w:tab/>
        <w:t>Les bandes les plus importantes, et les plus riches en information, dans les spectres de composés aromatiques apparaissent dans la gamme des basses fréquences entre 900 et 675 cm</w:t>
      </w:r>
      <w:r>
        <w:rPr>
          <w:color w:val="000000"/>
          <w:vertAlign w:val="superscript"/>
        </w:rPr>
        <w:t>-1</w:t>
      </w:r>
      <w:r>
        <w:rPr>
          <w:color w:val="000000"/>
        </w:rPr>
        <w:t>. Ces fortes bandes d’absorption proviennent des déformations angulaires, hors du plan, des vibrateurs C-H du cycle</w:t>
      </w:r>
      <w:r w:rsidRPr="00C53333">
        <w:t>.</w:t>
      </w:r>
      <w:r>
        <w:tab/>
        <w:t>Les déformations hors du plan des hydrogènes du cycle sont couplées de manière importante aux atomes d’hydrogènes adjacents.</w:t>
      </w:r>
      <w:r w:rsidRPr="006C1A54">
        <w:rPr>
          <w:color w:val="0000FF"/>
        </w:rPr>
        <w:t xml:space="preserve"> </w:t>
      </w:r>
      <w:r>
        <w:t>La position des bandes d’absorption de déformation hors du plan est, dès lors, caractéristique du nombre d’atomes d’hydrogène adjacents sur le cycle. Les bandes sont souvent intenses et peuvent être utilisées pour la détermination quantitative des concentrations relatives des isomères dans des mélanges.</w:t>
      </w:r>
    </w:p>
    <w:p w:rsidR="00C44384" w:rsidRPr="007566FA" w:rsidRDefault="00C44384" w:rsidP="00C44384">
      <w:pPr>
        <w:spacing w:before="100" w:beforeAutospacing="1" w:after="100" w:afterAutospacing="1" w:line="360" w:lineRule="auto"/>
      </w:pPr>
      <w:r>
        <w:tab/>
        <w:t xml:space="preserve">Les attributions pour les bandes de déformation angulaire hors du plan des C-H dans les spectres de benzènes substitués apparaissent dans le tableau 3 : </w:t>
      </w:r>
    </w:p>
    <w:tbl>
      <w:tblPr>
        <w:tblW w:w="0" w:type="auto"/>
        <w:tblCellSpacing w:w="15" w:type="dxa"/>
        <w:tblInd w:w="957"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tblPr>
      <w:tblGrid>
        <w:gridCol w:w="4069"/>
        <w:gridCol w:w="3854"/>
      </w:tblGrid>
      <w:tr w:rsidR="00C44384" w:rsidRPr="00885BF2" w:rsidTr="00AA32EE">
        <w:trPr>
          <w:tblCellSpacing w:w="15" w:type="dxa"/>
        </w:trPr>
        <w:tc>
          <w:tcPr>
            <w:tcW w:w="4024" w:type="dxa"/>
            <w:tcBorders>
              <w:top w:val="outset" w:sz="6" w:space="0" w:color="auto"/>
              <w:left w:val="outset" w:sz="6" w:space="0" w:color="auto"/>
              <w:bottom w:val="outset" w:sz="6" w:space="0" w:color="auto"/>
              <w:right w:val="outset" w:sz="6" w:space="0" w:color="auto"/>
            </w:tcBorders>
            <w:vAlign w:val="center"/>
          </w:tcPr>
          <w:p w:rsidR="00C44384" w:rsidRPr="00885BF2" w:rsidRDefault="00C44384" w:rsidP="00AA32EE">
            <w:pPr>
              <w:spacing w:before="100" w:beforeAutospacing="1" w:after="100" w:afterAutospacing="1"/>
              <w:ind w:right="562"/>
              <w:jc w:val="center"/>
              <w:rPr>
                <w:rFonts w:ascii="Arial" w:hAnsi="Arial" w:cs="Arial"/>
                <w:color w:val="000000"/>
                <w:sz w:val="20"/>
                <w:szCs w:val="20"/>
              </w:rPr>
            </w:pPr>
            <w:r w:rsidRPr="00885BF2">
              <w:rPr>
                <w:rFonts w:ascii="Arial" w:hAnsi="Arial" w:cs="Arial"/>
                <w:color w:val="000000"/>
                <w:sz w:val="20"/>
                <w:szCs w:val="20"/>
              </w:rPr>
              <w:t>5H voisins (monosubstitué)</w:t>
            </w:r>
          </w:p>
        </w:tc>
        <w:tc>
          <w:tcPr>
            <w:tcW w:w="3809" w:type="dxa"/>
            <w:tcBorders>
              <w:top w:val="outset" w:sz="6" w:space="0" w:color="auto"/>
              <w:left w:val="outset" w:sz="6" w:space="0" w:color="auto"/>
              <w:bottom w:val="outset" w:sz="6" w:space="0" w:color="auto"/>
              <w:right w:val="outset" w:sz="6" w:space="0" w:color="auto"/>
            </w:tcBorders>
            <w:vAlign w:val="center"/>
          </w:tcPr>
          <w:p w:rsidR="00C44384" w:rsidRPr="00885BF2" w:rsidRDefault="00C44384" w:rsidP="00AA32EE">
            <w:pPr>
              <w:spacing w:before="100" w:beforeAutospacing="1" w:after="100" w:afterAutospacing="1"/>
              <w:ind w:right="562"/>
              <w:jc w:val="center"/>
              <w:rPr>
                <w:rFonts w:ascii="Arial" w:hAnsi="Arial" w:cs="Arial"/>
                <w:color w:val="000000"/>
                <w:sz w:val="20"/>
                <w:szCs w:val="20"/>
              </w:rPr>
            </w:pPr>
            <w:r w:rsidRPr="00885BF2">
              <w:rPr>
                <w:rFonts w:ascii="Arial" w:hAnsi="Arial" w:cs="Arial"/>
                <w:color w:val="000000"/>
                <w:sz w:val="20"/>
                <w:szCs w:val="20"/>
              </w:rPr>
              <w:t>735 à 770 cm</w:t>
            </w:r>
            <w:r w:rsidRPr="00885BF2">
              <w:rPr>
                <w:rFonts w:ascii="Arial" w:hAnsi="Arial" w:cs="Arial"/>
                <w:color w:val="000000"/>
                <w:sz w:val="20"/>
                <w:szCs w:val="20"/>
                <w:vertAlign w:val="superscript"/>
              </w:rPr>
              <w:t>-1</w:t>
            </w:r>
            <w:r w:rsidRPr="00885BF2">
              <w:rPr>
                <w:rFonts w:ascii="Arial" w:hAnsi="Arial" w:cs="Arial"/>
                <w:color w:val="000000"/>
                <w:sz w:val="20"/>
                <w:szCs w:val="20"/>
              </w:rPr>
              <w:t xml:space="preserve"> </w:t>
            </w:r>
          </w:p>
          <w:p w:rsidR="00C44384" w:rsidRPr="00885BF2" w:rsidRDefault="00C44384" w:rsidP="00AA32EE">
            <w:pPr>
              <w:spacing w:before="100" w:beforeAutospacing="1" w:after="100" w:afterAutospacing="1"/>
              <w:ind w:right="562"/>
              <w:jc w:val="center"/>
              <w:rPr>
                <w:rFonts w:ascii="Arial" w:hAnsi="Arial" w:cs="Arial"/>
                <w:color w:val="000000"/>
                <w:sz w:val="20"/>
                <w:szCs w:val="20"/>
              </w:rPr>
            </w:pPr>
            <w:r w:rsidRPr="00885BF2">
              <w:rPr>
                <w:rFonts w:ascii="Arial" w:hAnsi="Arial" w:cs="Arial"/>
                <w:color w:val="000000"/>
                <w:sz w:val="20"/>
                <w:szCs w:val="20"/>
              </w:rPr>
              <w:t>685 à 710 cm</w:t>
            </w:r>
            <w:r w:rsidRPr="00885BF2">
              <w:rPr>
                <w:rFonts w:ascii="Arial" w:hAnsi="Arial" w:cs="Arial"/>
                <w:color w:val="000000"/>
                <w:sz w:val="20"/>
                <w:szCs w:val="20"/>
                <w:vertAlign w:val="superscript"/>
              </w:rPr>
              <w:t>-1</w:t>
            </w:r>
            <w:r w:rsidRPr="00885BF2">
              <w:rPr>
                <w:rFonts w:ascii="Arial" w:hAnsi="Arial" w:cs="Arial"/>
                <w:color w:val="000000"/>
                <w:sz w:val="20"/>
                <w:szCs w:val="20"/>
              </w:rPr>
              <w:t xml:space="preserve"> </w:t>
            </w:r>
          </w:p>
          <w:p w:rsidR="00C44384" w:rsidRPr="00885BF2" w:rsidRDefault="00C44384" w:rsidP="00AA32EE">
            <w:pPr>
              <w:spacing w:before="100" w:beforeAutospacing="1" w:after="100" w:afterAutospacing="1"/>
              <w:ind w:right="562"/>
              <w:jc w:val="center"/>
              <w:rPr>
                <w:rFonts w:ascii="Arial" w:hAnsi="Arial" w:cs="Arial"/>
                <w:color w:val="000000"/>
                <w:sz w:val="20"/>
                <w:szCs w:val="20"/>
              </w:rPr>
            </w:pPr>
            <w:r w:rsidRPr="00885BF2">
              <w:rPr>
                <w:rFonts w:ascii="Arial" w:hAnsi="Arial" w:cs="Arial"/>
                <w:color w:val="000000"/>
                <w:sz w:val="20"/>
                <w:szCs w:val="20"/>
              </w:rPr>
              <w:t>forte intensité</w:t>
            </w:r>
          </w:p>
        </w:tc>
      </w:tr>
      <w:tr w:rsidR="00C44384" w:rsidRPr="00885BF2" w:rsidTr="00AA32EE">
        <w:trPr>
          <w:tblCellSpacing w:w="15" w:type="dxa"/>
        </w:trPr>
        <w:tc>
          <w:tcPr>
            <w:tcW w:w="4024" w:type="dxa"/>
            <w:tcBorders>
              <w:top w:val="outset" w:sz="6" w:space="0" w:color="auto"/>
              <w:left w:val="outset" w:sz="6" w:space="0" w:color="auto"/>
              <w:bottom w:val="outset" w:sz="6" w:space="0" w:color="auto"/>
              <w:right w:val="outset" w:sz="6" w:space="0" w:color="auto"/>
            </w:tcBorders>
            <w:vAlign w:val="center"/>
          </w:tcPr>
          <w:p w:rsidR="00C44384" w:rsidRPr="00885BF2" w:rsidRDefault="00C44384" w:rsidP="00AA32EE">
            <w:pPr>
              <w:spacing w:before="100" w:beforeAutospacing="1" w:after="100" w:afterAutospacing="1"/>
              <w:ind w:right="562"/>
              <w:jc w:val="center"/>
              <w:rPr>
                <w:rFonts w:ascii="Arial" w:hAnsi="Arial" w:cs="Arial"/>
                <w:color w:val="000000"/>
                <w:sz w:val="20"/>
                <w:szCs w:val="20"/>
              </w:rPr>
            </w:pPr>
            <w:r w:rsidRPr="00885BF2">
              <w:rPr>
                <w:rFonts w:ascii="Arial" w:hAnsi="Arial" w:cs="Arial"/>
                <w:color w:val="000000"/>
                <w:sz w:val="20"/>
                <w:szCs w:val="20"/>
              </w:rPr>
              <w:t>4H voisins (</w:t>
            </w:r>
            <w:r w:rsidRPr="00885BF2">
              <w:rPr>
                <w:rFonts w:ascii="Arial" w:hAnsi="Arial" w:cs="Arial"/>
                <w:i/>
                <w:iCs/>
                <w:color w:val="000000"/>
                <w:sz w:val="20"/>
                <w:szCs w:val="20"/>
              </w:rPr>
              <w:t>o</w:t>
            </w:r>
            <w:r w:rsidRPr="00885BF2">
              <w:rPr>
                <w:rFonts w:ascii="Arial" w:hAnsi="Arial" w:cs="Arial"/>
                <w:color w:val="000000"/>
                <w:sz w:val="20"/>
                <w:szCs w:val="20"/>
              </w:rPr>
              <w:t>-</w:t>
            </w:r>
            <w:proofErr w:type="spellStart"/>
            <w:r w:rsidRPr="00885BF2">
              <w:rPr>
                <w:rFonts w:ascii="Arial" w:hAnsi="Arial" w:cs="Arial"/>
                <w:color w:val="000000"/>
                <w:sz w:val="20"/>
                <w:szCs w:val="20"/>
              </w:rPr>
              <w:t>disubstitué</w:t>
            </w:r>
            <w:proofErr w:type="spellEnd"/>
            <w:r w:rsidRPr="00885BF2">
              <w:rPr>
                <w:rFonts w:ascii="Arial" w:hAnsi="Arial" w:cs="Arial"/>
                <w:color w:val="000000"/>
                <w:sz w:val="20"/>
                <w:szCs w:val="20"/>
              </w:rPr>
              <w:t>)</w:t>
            </w:r>
          </w:p>
        </w:tc>
        <w:tc>
          <w:tcPr>
            <w:tcW w:w="3809" w:type="dxa"/>
            <w:tcBorders>
              <w:top w:val="outset" w:sz="6" w:space="0" w:color="auto"/>
              <w:left w:val="outset" w:sz="6" w:space="0" w:color="auto"/>
              <w:bottom w:val="outset" w:sz="6" w:space="0" w:color="auto"/>
              <w:right w:val="outset" w:sz="6" w:space="0" w:color="auto"/>
            </w:tcBorders>
            <w:vAlign w:val="center"/>
          </w:tcPr>
          <w:p w:rsidR="00C44384" w:rsidRPr="00885BF2" w:rsidRDefault="00C44384" w:rsidP="00AA32EE">
            <w:pPr>
              <w:spacing w:before="100" w:beforeAutospacing="1" w:after="100" w:afterAutospacing="1"/>
              <w:ind w:right="562"/>
              <w:jc w:val="center"/>
              <w:rPr>
                <w:rFonts w:ascii="Arial" w:hAnsi="Arial" w:cs="Arial"/>
                <w:color w:val="000000"/>
                <w:sz w:val="20"/>
                <w:szCs w:val="20"/>
              </w:rPr>
            </w:pPr>
            <w:r w:rsidRPr="00885BF2">
              <w:rPr>
                <w:rFonts w:ascii="Arial" w:hAnsi="Arial" w:cs="Arial"/>
                <w:color w:val="000000"/>
                <w:sz w:val="20"/>
                <w:szCs w:val="20"/>
              </w:rPr>
              <w:t>740 à 760 cm</w:t>
            </w:r>
            <w:r w:rsidRPr="00885BF2">
              <w:rPr>
                <w:rFonts w:ascii="Arial" w:hAnsi="Arial" w:cs="Arial"/>
                <w:color w:val="000000"/>
                <w:sz w:val="20"/>
                <w:szCs w:val="20"/>
                <w:vertAlign w:val="superscript"/>
              </w:rPr>
              <w:t>-1</w:t>
            </w:r>
            <w:r w:rsidRPr="00885BF2">
              <w:rPr>
                <w:rFonts w:ascii="Arial" w:hAnsi="Arial" w:cs="Arial"/>
                <w:color w:val="000000"/>
                <w:sz w:val="20"/>
                <w:szCs w:val="20"/>
              </w:rPr>
              <w:t xml:space="preserve"> </w:t>
            </w:r>
          </w:p>
          <w:p w:rsidR="00C44384" w:rsidRPr="00885BF2" w:rsidRDefault="00C44384" w:rsidP="00AA32EE">
            <w:pPr>
              <w:spacing w:before="100" w:beforeAutospacing="1" w:after="100" w:afterAutospacing="1"/>
              <w:ind w:right="562"/>
              <w:jc w:val="center"/>
              <w:rPr>
                <w:rFonts w:ascii="Arial" w:hAnsi="Arial" w:cs="Arial"/>
                <w:color w:val="000000"/>
                <w:sz w:val="20"/>
                <w:szCs w:val="20"/>
              </w:rPr>
            </w:pPr>
            <w:r w:rsidRPr="00885BF2">
              <w:rPr>
                <w:rFonts w:ascii="Arial" w:hAnsi="Arial" w:cs="Arial"/>
                <w:color w:val="000000"/>
                <w:sz w:val="20"/>
                <w:szCs w:val="20"/>
              </w:rPr>
              <w:t>forte intensité</w:t>
            </w:r>
          </w:p>
        </w:tc>
      </w:tr>
      <w:tr w:rsidR="00C44384" w:rsidRPr="00885BF2" w:rsidTr="00AA32EE">
        <w:trPr>
          <w:tblCellSpacing w:w="15" w:type="dxa"/>
        </w:trPr>
        <w:tc>
          <w:tcPr>
            <w:tcW w:w="4024" w:type="dxa"/>
            <w:tcBorders>
              <w:top w:val="outset" w:sz="6" w:space="0" w:color="auto"/>
              <w:left w:val="outset" w:sz="6" w:space="0" w:color="auto"/>
              <w:bottom w:val="outset" w:sz="6" w:space="0" w:color="auto"/>
              <w:right w:val="outset" w:sz="6" w:space="0" w:color="auto"/>
            </w:tcBorders>
            <w:vAlign w:val="center"/>
          </w:tcPr>
          <w:p w:rsidR="00C44384" w:rsidRPr="00885BF2" w:rsidRDefault="00C44384" w:rsidP="00AA32EE">
            <w:pPr>
              <w:spacing w:before="100" w:beforeAutospacing="1" w:after="100" w:afterAutospacing="1"/>
              <w:ind w:right="562"/>
              <w:jc w:val="center"/>
              <w:rPr>
                <w:rFonts w:ascii="Arial" w:hAnsi="Arial" w:cs="Arial"/>
                <w:color w:val="000000"/>
                <w:sz w:val="20"/>
                <w:szCs w:val="20"/>
              </w:rPr>
            </w:pPr>
            <w:r w:rsidRPr="00885BF2">
              <w:rPr>
                <w:rFonts w:ascii="Arial" w:hAnsi="Arial" w:cs="Arial"/>
                <w:color w:val="000000"/>
                <w:sz w:val="20"/>
                <w:szCs w:val="20"/>
              </w:rPr>
              <w:t>3H voisins (</w:t>
            </w:r>
            <w:r w:rsidRPr="00885BF2">
              <w:rPr>
                <w:rFonts w:ascii="Arial" w:hAnsi="Arial" w:cs="Arial"/>
                <w:i/>
                <w:iCs/>
                <w:color w:val="000000"/>
                <w:sz w:val="20"/>
                <w:szCs w:val="20"/>
              </w:rPr>
              <w:t>m</w:t>
            </w:r>
            <w:r w:rsidRPr="00885BF2">
              <w:rPr>
                <w:rFonts w:ascii="Arial" w:hAnsi="Arial" w:cs="Arial"/>
                <w:color w:val="000000"/>
                <w:sz w:val="20"/>
                <w:szCs w:val="20"/>
              </w:rPr>
              <w:t>-</w:t>
            </w:r>
            <w:proofErr w:type="spellStart"/>
            <w:r w:rsidRPr="00885BF2">
              <w:rPr>
                <w:rFonts w:ascii="Arial" w:hAnsi="Arial" w:cs="Arial"/>
                <w:color w:val="000000"/>
                <w:sz w:val="20"/>
                <w:szCs w:val="20"/>
              </w:rPr>
              <w:t>disubstitué</w:t>
            </w:r>
            <w:proofErr w:type="spellEnd"/>
            <w:r w:rsidRPr="00885BF2">
              <w:rPr>
                <w:rFonts w:ascii="Arial" w:hAnsi="Arial" w:cs="Arial"/>
                <w:color w:val="000000"/>
                <w:sz w:val="20"/>
                <w:szCs w:val="20"/>
              </w:rPr>
              <w:t>, 1</w:t>
            </w:r>
            <w:proofErr w:type="gramStart"/>
            <w:r w:rsidRPr="00885BF2">
              <w:rPr>
                <w:rFonts w:ascii="Arial" w:hAnsi="Arial" w:cs="Arial"/>
                <w:color w:val="000000"/>
                <w:sz w:val="20"/>
                <w:szCs w:val="20"/>
              </w:rPr>
              <w:t>,2,3</w:t>
            </w:r>
            <w:proofErr w:type="gramEnd"/>
            <w:r w:rsidRPr="00885BF2">
              <w:rPr>
                <w:rFonts w:ascii="Arial" w:hAnsi="Arial" w:cs="Arial"/>
                <w:color w:val="000000"/>
                <w:sz w:val="20"/>
                <w:szCs w:val="20"/>
              </w:rPr>
              <w:t>-</w:t>
            </w:r>
            <w:proofErr w:type="spellStart"/>
            <w:r w:rsidRPr="00885BF2">
              <w:rPr>
                <w:rFonts w:ascii="Arial" w:hAnsi="Arial" w:cs="Arial"/>
                <w:color w:val="000000"/>
                <w:sz w:val="20"/>
                <w:szCs w:val="20"/>
              </w:rPr>
              <w:t>trisubstitué</w:t>
            </w:r>
            <w:proofErr w:type="spellEnd"/>
            <w:r w:rsidRPr="00885BF2">
              <w:rPr>
                <w:rFonts w:ascii="Arial" w:hAnsi="Arial" w:cs="Arial"/>
                <w:color w:val="000000"/>
                <w:sz w:val="20"/>
                <w:szCs w:val="20"/>
              </w:rPr>
              <w:t>)</w:t>
            </w:r>
          </w:p>
        </w:tc>
        <w:tc>
          <w:tcPr>
            <w:tcW w:w="3809" w:type="dxa"/>
            <w:tcBorders>
              <w:top w:val="outset" w:sz="6" w:space="0" w:color="auto"/>
              <w:left w:val="outset" w:sz="6" w:space="0" w:color="auto"/>
              <w:bottom w:val="outset" w:sz="6" w:space="0" w:color="auto"/>
              <w:right w:val="outset" w:sz="6" w:space="0" w:color="auto"/>
            </w:tcBorders>
            <w:vAlign w:val="center"/>
          </w:tcPr>
          <w:p w:rsidR="00C44384" w:rsidRPr="00885BF2" w:rsidRDefault="00C44384" w:rsidP="00AA32EE">
            <w:pPr>
              <w:spacing w:before="100" w:beforeAutospacing="1" w:after="100" w:afterAutospacing="1"/>
              <w:ind w:right="562"/>
              <w:jc w:val="center"/>
              <w:rPr>
                <w:rFonts w:ascii="Arial" w:hAnsi="Arial" w:cs="Arial"/>
                <w:color w:val="000000"/>
                <w:sz w:val="20"/>
                <w:szCs w:val="20"/>
              </w:rPr>
            </w:pPr>
            <w:r w:rsidRPr="00885BF2">
              <w:rPr>
                <w:rFonts w:ascii="Arial" w:hAnsi="Arial" w:cs="Arial"/>
                <w:color w:val="000000"/>
                <w:sz w:val="20"/>
                <w:szCs w:val="20"/>
              </w:rPr>
              <w:t>770 à 800 cm</w:t>
            </w:r>
            <w:r w:rsidRPr="00885BF2">
              <w:rPr>
                <w:rFonts w:ascii="Arial" w:hAnsi="Arial" w:cs="Arial"/>
                <w:color w:val="000000"/>
                <w:sz w:val="20"/>
                <w:szCs w:val="20"/>
                <w:vertAlign w:val="superscript"/>
              </w:rPr>
              <w:t>-1</w:t>
            </w:r>
            <w:r w:rsidRPr="00885BF2">
              <w:rPr>
                <w:rFonts w:ascii="Arial" w:hAnsi="Arial" w:cs="Arial"/>
                <w:color w:val="000000"/>
                <w:sz w:val="20"/>
                <w:szCs w:val="20"/>
              </w:rPr>
              <w:t xml:space="preserve"> </w:t>
            </w:r>
          </w:p>
          <w:p w:rsidR="00C44384" w:rsidRPr="00885BF2" w:rsidRDefault="00C44384" w:rsidP="00AA32EE">
            <w:pPr>
              <w:spacing w:before="100" w:beforeAutospacing="1" w:after="100" w:afterAutospacing="1"/>
              <w:ind w:right="562"/>
              <w:jc w:val="center"/>
              <w:rPr>
                <w:rFonts w:ascii="Arial" w:hAnsi="Arial" w:cs="Arial"/>
                <w:color w:val="000000"/>
                <w:sz w:val="20"/>
                <w:szCs w:val="20"/>
              </w:rPr>
            </w:pPr>
            <w:r w:rsidRPr="00885BF2">
              <w:rPr>
                <w:rFonts w:ascii="Arial" w:hAnsi="Arial" w:cs="Arial"/>
                <w:color w:val="000000"/>
                <w:sz w:val="20"/>
                <w:szCs w:val="20"/>
              </w:rPr>
              <w:t>forte intensité</w:t>
            </w:r>
          </w:p>
        </w:tc>
      </w:tr>
      <w:tr w:rsidR="00C44384" w:rsidRPr="00885BF2" w:rsidTr="00AA32EE">
        <w:trPr>
          <w:tblCellSpacing w:w="15" w:type="dxa"/>
        </w:trPr>
        <w:tc>
          <w:tcPr>
            <w:tcW w:w="4024" w:type="dxa"/>
            <w:tcBorders>
              <w:top w:val="outset" w:sz="6" w:space="0" w:color="auto"/>
              <w:left w:val="outset" w:sz="6" w:space="0" w:color="auto"/>
              <w:bottom w:val="outset" w:sz="6" w:space="0" w:color="auto"/>
              <w:right w:val="outset" w:sz="6" w:space="0" w:color="auto"/>
            </w:tcBorders>
            <w:vAlign w:val="center"/>
          </w:tcPr>
          <w:p w:rsidR="00C44384" w:rsidRPr="00885BF2" w:rsidRDefault="00C44384" w:rsidP="00AA32EE">
            <w:pPr>
              <w:spacing w:before="100" w:beforeAutospacing="1" w:after="100" w:afterAutospacing="1"/>
              <w:ind w:right="562"/>
              <w:jc w:val="center"/>
              <w:rPr>
                <w:rFonts w:ascii="Arial" w:hAnsi="Arial" w:cs="Arial"/>
                <w:color w:val="000000"/>
                <w:sz w:val="20"/>
                <w:szCs w:val="20"/>
              </w:rPr>
            </w:pPr>
            <w:r w:rsidRPr="00885BF2">
              <w:rPr>
                <w:rFonts w:ascii="Arial" w:hAnsi="Arial" w:cs="Arial"/>
                <w:color w:val="000000"/>
                <w:sz w:val="20"/>
                <w:szCs w:val="20"/>
              </w:rPr>
              <w:t>2H voisins (</w:t>
            </w:r>
            <w:r w:rsidRPr="00885BF2">
              <w:rPr>
                <w:rFonts w:ascii="Arial" w:hAnsi="Arial" w:cs="Arial"/>
                <w:i/>
                <w:iCs/>
                <w:color w:val="000000"/>
                <w:sz w:val="20"/>
                <w:szCs w:val="20"/>
              </w:rPr>
              <w:t>p</w:t>
            </w:r>
            <w:r w:rsidRPr="00885BF2">
              <w:rPr>
                <w:rFonts w:ascii="Arial" w:hAnsi="Arial" w:cs="Arial"/>
                <w:color w:val="000000"/>
                <w:sz w:val="20"/>
                <w:szCs w:val="20"/>
              </w:rPr>
              <w:t>-</w:t>
            </w:r>
            <w:proofErr w:type="spellStart"/>
            <w:r w:rsidRPr="00885BF2">
              <w:rPr>
                <w:rFonts w:ascii="Arial" w:hAnsi="Arial" w:cs="Arial"/>
                <w:color w:val="000000"/>
                <w:sz w:val="20"/>
                <w:szCs w:val="20"/>
              </w:rPr>
              <w:t>disubstitué</w:t>
            </w:r>
            <w:proofErr w:type="spellEnd"/>
            <w:r w:rsidRPr="00885BF2">
              <w:rPr>
                <w:rFonts w:ascii="Arial" w:hAnsi="Arial" w:cs="Arial"/>
                <w:color w:val="000000"/>
                <w:sz w:val="20"/>
                <w:szCs w:val="20"/>
              </w:rPr>
              <w:t>...)</w:t>
            </w:r>
          </w:p>
        </w:tc>
        <w:tc>
          <w:tcPr>
            <w:tcW w:w="3809" w:type="dxa"/>
            <w:tcBorders>
              <w:top w:val="outset" w:sz="6" w:space="0" w:color="auto"/>
              <w:left w:val="outset" w:sz="6" w:space="0" w:color="auto"/>
              <w:bottom w:val="outset" w:sz="6" w:space="0" w:color="auto"/>
              <w:right w:val="outset" w:sz="6" w:space="0" w:color="auto"/>
            </w:tcBorders>
            <w:vAlign w:val="center"/>
          </w:tcPr>
          <w:p w:rsidR="00C44384" w:rsidRPr="00885BF2" w:rsidRDefault="00C44384" w:rsidP="00AA32EE">
            <w:pPr>
              <w:spacing w:before="100" w:beforeAutospacing="1" w:after="100" w:afterAutospacing="1"/>
              <w:ind w:right="562"/>
              <w:jc w:val="center"/>
              <w:rPr>
                <w:rFonts w:ascii="Arial" w:hAnsi="Arial" w:cs="Arial"/>
                <w:color w:val="000000"/>
                <w:sz w:val="20"/>
                <w:szCs w:val="20"/>
              </w:rPr>
            </w:pPr>
            <w:r w:rsidRPr="00885BF2">
              <w:rPr>
                <w:rFonts w:ascii="Arial" w:hAnsi="Arial" w:cs="Arial"/>
                <w:color w:val="000000"/>
                <w:sz w:val="20"/>
                <w:szCs w:val="20"/>
              </w:rPr>
              <w:t>800 à 840 cm</w:t>
            </w:r>
            <w:r w:rsidRPr="00885BF2">
              <w:rPr>
                <w:rFonts w:ascii="Arial" w:hAnsi="Arial" w:cs="Arial"/>
                <w:color w:val="000000"/>
                <w:sz w:val="20"/>
                <w:szCs w:val="20"/>
                <w:vertAlign w:val="superscript"/>
              </w:rPr>
              <w:t>-1</w:t>
            </w:r>
            <w:r w:rsidRPr="00885BF2">
              <w:rPr>
                <w:rFonts w:ascii="Arial" w:hAnsi="Arial" w:cs="Arial"/>
                <w:color w:val="000000"/>
                <w:sz w:val="20"/>
                <w:szCs w:val="20"/>
              </w:rPr>
              <w:t xml:space="preserve"> </w:t>
            </w:r>
          </w:p>
          <w:p w:rsidR="00C44384" w:rsidRPr="00885BF2" w:rsidRDefault="00C44384" w:rsidP="00AA32EE">
            <w:pPr>
              <w:spacing w:before="100" w:beforeAutospacing="1" w:after="100" w:afterAutospacing="1"/>
              <w:ind w:right="562"/>
              <w:jc w:val="center"/>
              <w:rPr>
                <w:rFonts w:ascii="Arial" w:hAnsi="Arial" w:cs="Arial"/>
                <w:color w:val="000000"/>
                <w:sz w:val="20"/>
                <w:szCs w:val="20"/>
              </w:rPr>
            </w:pPr>
            <w:r w:rsidRPr="00885BF2">
              <w:rPr>
                <w:rFonts w:ascii="Arial" w:hAnsi="Arial" w:cs="Arial"/>
                <w:color w:val="000000"/>
                <w:sz w:val="20"/>
                <w:szCs w:val="20"/>
              </w:rPr>
              <w:t>forte intensité</w:t>
            </w:r>
          </w:p>
        </w:tc>
      </w:tr>
      <w:tr w:rsidR="00C44384" w:rsidRPr="00885BF2" w:rsidTr="00AA32EE">
        <w:trPr>
          <w:tblCellSpacing w:w="15" w:type="dxa"/>
        </w:trPr>
        <w:tc>
          <w:tcPr>
            <w:tcW w:w="4024" w:type="dxa"/>
            <w:tcBorders>
              <w:top w:val="outset" w:sz="6" w:space="0" w:color="auto"/>
              <w:left w:val="outset" w:sz="6" w:space="0" w:color="auto"/>
              <w:bottom w:val="outset" w:sz="6" w:space="0" w:color="auto"/>
              <w:right w:val="outset" w:sz="6" w:space="0" w:color="auto"/>
            </w:tcBorders>
            <w:vAlign w:val="center"/>
          </w:tcPr>
          <w:p w:rsidR="00C44384" w:rsidRPr="00885BF2" w:rsidRDefault="00C44384" w:rsidP="00AA32EE">
            <w:pPr>
              <w:spacing w:before="100" w:beforeAutospacing="1" w:after="100" w:afterAutospacing="1"/>
              <w:ind w:right="562"/>
              <w:jc w:val="center"/>
              <w:rPr>
                <w:rFonts w:ascii="Arial" w:hAnsi="Arial" w:cs="Arial"/>
                <w:color w:val="000000"/>
                <w:sz w:val="20"/>
                <w:szCs w:val="20"/>
              </w:rPr>
            </w:pPr>
            <w:r w:rsidRPr="00885BF2">
              <w:rPr>
                <w:rFonts w:ascii="Arial" w:hAnsi="Arial" w:cs="Arial"/>
                <w:color w:val="000000"/>
                <w:sz w:val="20"/>
                <w:szCs w:val="20"/>
              </w:rPr>
              <w:t>H isolé (</w:t>
            </w:r>
            <w:r>
              <w:rPr>
                <w:rFonts w:ascii="Arial" w:hAnsi="Arial" w:cs="Arial"/>
                <w:i/>
                <w:iCs/>
                <w:color w:val="000000"/>
                <w:sz w:val="20"/>
                <w:szCs w:val="20"/>
              </w:rPr>
              <w:t>m</w:t>
            </w:r>
            <w:r w:rsidRPr="00885BF2">
              <w:rPr>
                <w:rFonts w:ascii="Arial" w:hAnsi="Arial" w:cs="Arial"/>
                <w:color w:val="000000"/>
                <w:sz w:val="20"/>
                <w:szCs w:val="20"/>
              </w:rPr>
              <w:t>-</w:t>
            </w:r>
            <w:proofErr w:type="spellStart"/>
            <w:r w:rsidRPr="00885BF2">
              <w:rPr>
                <w:rFonts w:ascii="Arial" w:hAnsi="Arial" w:cs="Arial"/>
                <w:color w:val="000000"/>
                <w:sz w:val="20"/>
                <w:szCs w:val="20"/>
              </w:rPr>
              <w:t>disubstitué</w:t>
            </w:r>
            <w:proofErr w:type="spellEnd"/>
            <w:r w:rsidRPr="00885BF2">
              <w:rPr>
                <w:rFonts w:ascii="Arial" w:hAnsi="Arial" w:cs="Arial"/>
                <w:color w:val="000000"/>
                <w:sz w:val="20"/>
                <w:szCs w:val="20"/>
              </w:rPr>
              <w:t>...)</w:t>
            </w:r>
          </w:p>
        </w:tc>
        <w:tc>
          <w:tcPr>
            <w:tcW w:w="3809" w:type="dxa"/>
            <w:tcBorders>
              <w:top w:val="outset" w:sz="6" w:space="0" w:color="auto"/>
              <w:left w:val="outset" w:sz="6" w:space="0" w:color="auto"/>
              <w:bottom w:val="outset" w:sz="6" w:space="0" w:color="auto"/>
              <w:right w:val="outset" w:sz="6" w:space="0" w:color="auto"/>
            </w:tcBorders>
            <w:vAlign w:val="center"/>
          </w:tcPr>
          <w:p w:rsidR="00C44384" w:rsidRPr="00885BF2" w:rsidRDefault="00C44384" w:rsidP="00AA32EE">
            <w:pPr>
              <w:spacing w:before="100" w:beforeAutospacing="1" w:after="100" w:afterAutospacing="1"/>
              <w:ind w:right="562"/>
              <w:jc w:val="center"/>
              <w:rPr>
                <w:rFonts w:ascii="Arial" w:hAnsi="Arial" w:cs="Arial"/>
                <w:color w:val="000000"/>
                <w:sz w:val="20"/>
                <w:szCs w:val="20"/>
              </w:rPr>
            </w:pPr>
            <w:r w:rsidRPr="00885BF2">
              <w:rPr>
                <w:rFonts w:ascii="Arial" w:hAnsi="Arial" w:cs="Arial"/>
                <w:color w:val="000000"/>
                <w:sz w:val="20"/>
                <w:szCs w:val="20"/>
              </w:rPr>
              <w:t>800 à 900 cm</w:t>
            </w:r>
            <w:r w:rsidRPr="00885BF2">
              <w:rPr>
                <w:rFonts w:ascii="Arial" w:hAnsi="Arial" w:cs="Arial"/>
                <w:color w:val="000000"/>
                <w:sz w:val="20"/>
                <w:szCs w:val="20"/>
                <w:vertAlign w:val="superscript"/>
              </w:rPr>
              <w:t>-1</w:t>
            </w:r>
            <w:r w:rsidRPr="00885BF2">
              <w:rPr>
                <w:rFonts w:ascii="Arial" w:hAnsi="Arial" w:cs="Arial"/>
                <w:color w:val="000000"/>
                <w:sz w:val="20"/>
                <w:szCs w:val="20"/>
              </w:rPr>
              <w:t xml:space="preserve"> </w:t>
            </w:r>
          </w:p>
          <w:p w:rsidR="00C44384" w:rsidRPr="00885BF2" w:rsidRDefault="00C44384" w:rsidP="00AA32EE">
            <w:pPr>
              <w:spacing w:before="100" w:beforeAutospacing="1" w:after="100" w:afterAutospacing="1"/>
              <w:ind w:right="562"/>
              <w:jc w:val="center"/>
              <w:rPr>
                <w:rFonts w:ascii="Arial" w:hAnsi="Arial" w:cs="Arial"/>
                <w:color w:val="000000"/>
                <w:sz w:val="20"/>
                <w:szCs w:val="20"/>
              </w:rPr>
            </w:pPr>
            <w:r w:rsidRPr="00885BF2">
              <w:rPr>
                <w:rFonts w:ascii="Arial" w:hAnsi="Arial" w:cs="Arial"/>
                <w:color w:val="000000"/>
                <w:sz w:val="20"/>
                <w:szCs w:val="20"/>
              </w:rPr>
              <w:t>intensité faible (souvent non visible)</w:t>
            </w:r>
          </w:p>
        </w:tc>
      </w:tr>
    </w:tbl>
    <w:p w:rsidR="00C44384" w:rsidRDefault="00C44384" w:rsidP="00C44384">
      <w:pPr>
        <w:spacing w:line="360" w:lineRule="auto"/>
        <w:ind w:right="562"/>
        <w:jc w:val="center"/>
      </w:pPr>
    </w:p>
    <w:p w:rsidR="00C44384" w:rsidRDefault="00C44384" w:rsidP="00C44384">
      <w:pPr>
        <w:ind w:right="562"/>
        <w:jc w:val="center"/>
        <w:rPr>
          <w:b/>
          <w:bCs/>
        </w:rPr>
      </w:pPr>
      <w:r w:rsidRPr="00413A64">
        <w:rPr>
          <w:b/>
          <w:bCs/>
        </w:rPr>
        <w:t>Tableau</w:t>
      </w:r>
      <w:r>
        <w:rPr>
          <w:b/>
          <w:bCs/>
        </w:rPr>
        <w:t xml:space="preserve"> 3</w:t>
      </w:r>
      <w:r w:rsidRPr="00413A64">
        <w:rPr>
          <w:b/>
          <w:bCs/>
        </w:rPr>
        <w:t xml:space="preserve"> : Fréquences </w:t>
      </w:r>
      <w:r w:rsidRPr="00413A64">
        <w:rPr>
          <w:b/>
          <w:bCs/>
        </w:rPr>
        <w:sym w:font="Symbol" w:char="F067"/>
      </w:r>
      <w:r w:rsidRPr="00413A64">
        <w:rPr>
          <w:b/>
          <w:bCs/>
        </w:rPr>
        <w:t xml:space="preserve"> (CH) des dérivés </w:t>
      </w:r>
    </w:p>
    <w:p w:rsidR="00C44384" w:rsidRDefault="00C44384" w:rsidP="00C44384">
      <w:pPr>
        <w:ind w:right="562"/>
        <w:jc w:val="center"/>
        <w:rPr>
          <w:b/>
          <w:bCs/>
        </w:rPr>
      </w:pPr>
      <w:r w:rsidRPr="00413A64">
        <w:rPr>
          <w:b/>
          <w:bCs/>
        </w:rPr>
        <w:t xml:space="preserve">benzéniques en fonction de </w:t>
      </w:r>
      <w:r w:rsidRPr="005E781D">
        <w:rPr>
          <w:b/>
          <w:bCs/>
        </w:rPr>
        <w:t xml:space="preserve">la position des </w:t>
      </w:r>
      <w:proofErr w:type="spellStart"/>
      <w:proofErr w:type="gramStart"/>
      <w:r w:rsidRPr="005E781D">
        <w:rPr>
          <w:b/>
          <w:bCs/>
        </w:rPr>
        <w:t>substituants</w:t>
      </w:r>
      <w:proofErr w:type="spellEnd"/>
      <w:r w:rsidRPr="005E781D">
        <w:rPr>
          <w:b/>
          <w:bCs/>
        </w:rPr>
        <w:t> .</w:t>
      </w:r>
      <w:proofErr w:type="gramEnd"/>
    </w:p>
    <w:p w:rsidR="00C44384" w:rsidRPr="00C87E61" w:rsidRDefault="00C44384" w:rsidP="00C44384">
      <w:pPr>
        <w:spacing w:before="100" w:beforeAutospacing="1" w:after="100" w:afterAutospacing="1"/>
        <w:rPr>
          <w:color w:val="000000"/>
        </w:rPr>
      </w:pPr>
      <w:r>
        <w:rPr>
          <w:color w:val="000000"/>
        </w:rPr>
        <w:tab/>
      </w:r>
      <w:r w:rsidRPr="006C1A54">
        <w:t xml:space="preserve">Grâce à cette (ou ces) bande(s), il est possible de dire si le noyau est mono, di, tri, ...substitué et parfois de préciser le positionnement relatif des </w:t>
      </w:r>
      <w:proofErr w:type="spellStart"/>
      <w:r w:rsidRPr="006C1A54">
        <w:t>substituants</w:t>
      </w:r>
      <w:proofErr w:type="spellEnd"/>
      <w:r w:rsidRPr="006C1A54">
        <w:t xml:space="preserve"> sur le cycle</w:t>
      </w:r>
      <w:r w:rsidRPr="007566FA">
        <w:rPr>
          <w:color w:val="FF0000"/>
        </w:rPr>
        <w:t>.</w:t>
      </w:r>
    </w:p>
    <w:p w:rsidR="00C44384" w:rsidRDefault="00C44384" w:rsidP="00B52743">
      <w:pPr>
        <w:spacing w:before="100" w:beforeAutospacing="1" w:after="100" w:afterAutospacing="1" w:line="360" w:lineRule="auto"/>
        <w:rPr>
          <w:color w:val="000000"/>
        </w:rPr>
      </w:pPr>
      <w:r>
        <w:rPr>
          <w:color w:val="000000"/>
        </w:rPr>
        <w:tab/>
        <w:t xml:space="preserve">Ces attributions sont fiables en général pour les alkyl </w:t>
      </w:r>
      <w:proofErr w:type="gramStart"/>
      <w:r>
        <w:rPr>
          <w:color w:val="000000"/>
        </w:rPr>
        <w:t>benzènes(</w:t>
      </w:r>
      <w:proofErr w:type="gramEnd"/>
      <w:r>
        <w:rPr>
          <w:color w:val="000000"/>
        </w:rPr>
        <w:t xml:space="preserve">figure 9), mais nous devons faire attention dans l’interprétation des spectres quand des groupes polaires sont directement attachés au cycle, par exemple les </w:t>
      </w:r>
      <w:proofErr w:type="spellStart"/>
      <w:r>
        <w:rPr>
          <w:color w:val="000000"/>
        </w:rPr>
        <w:t>nitro</w:t>
      </w:r>
      <w:proofErr w:type="spellEnd"/>
      <w:r w:rsidRPr="005A130B">
        <w:rPr>
          <w:color w:val="000000"/>
        </w:rPr>
        <w:t xml:space="preserve"> </w:t>
      </w:r>
      <w:r w:rsidR="00B52743">
        <w:rPr>
          <w:color w:val="000000"/>
        </w:rPr>
        <w:t xml:space="preserve">benzènes </w:t>
      </w:r>
      <w:r>
        <w:rPr>
          <w:color w:val="000000"/>
        </w:rPr>
        <w:t>et les acides aromatiques ainsi que les esters ou amides dérivés de ces même acides.</w:t>
      </w:r>
    </w:p>
    <w:p w:rsidR="00C37EEF" w:rsidRPr="003357EF" w:rsidRDefault="00C37EEF" w:rsidP="00C37EEF">
      <w:pPr>
        <w:pStyle w:val="Titre2"/>
        <w:jc w:val="center"/>
        <w:rPr>
          <w:rFonts w:ascii="Book Antiqua" w:hAnsi="Book Antiqua"/>
          <w:sz w:val="32"/>
          <w:szCs w:val="32"/>
        </w:rPr>
      </w:pPr>
      <w:r w:rsidRPr="003357EF">
        <w:rPr>
          <w:rFonts w:ascii="Book Antiqua" w:hAnsi="Book Antiqua"/>
          <w:sz w:val="32"/>
          <w:szCs w:val="32"/>
        </w:rPr>
        <w:lastRenderedPageBreak/>
        <w:t>Chapitre I</w:t>
      </w:r>
      <w:r>
        <w:rPr>
          <w:rFonts w:ascii="Book Antiqua" w:hAnsi="Book Antiqua"/>
          <w:sz w:val="32"/>
          <w:szCs w:val="32"/>
        </w:rPr>
        <w:t>I</w:t>
      </w:r>
      <w:r w:rsidRPr="003357EF">
        <w:rPr>
          <w:rFonts w:ascii="Book Antiqua" w:hAnsi="Book Antiqua"/>
          <w:sz w:val="32"/>
          <w:szCs w:val="32"/>
        </w:rPr>
        <w:t xml:space="preserve">I </w:t>
      </w:r>
    </w:p>
    <w:p w:rsidR="00C37EEF" w:rsidRPr="003B0F4C" w:rsidRDefault="00C37EEF" w:rsidP="00C37EEF">
      <w:pPr>
        <w:spacing w:before="100" w:beforeAutospacing="1" w:after="100" w:afterAutospacing="1" w:line="360" w:lineRule="auto"/>
        <w:jc w:val="center"/>
        <w:outlineLvl w:val="0"/>
        <w:rPr>
          <w:b/>
          <w:bCs/>
          <w:kern w:val="36"/>
          <w:sz w:val="28"/>
          <w:szCs w:val="28"/>
        </w:rPr>
      </w:pPr>
      <w:r>
        <w:rPr>
          <w:b/>
          <w:bCs/>
          <w:kern w:val="36"/>
          <w:sz w:val="28"/>
          <w:szCs w:val="28"/>
        </w:rPr>
        <w:t>LES FONCTIONS</w:t>
      </w:r>
    </w:p>
    <w:p w:rsidR="00C37EEF" w:rsidRDefault="00C37EEF" w:rsidP="00C37EEF">
      <w:pPr>
        <w:spacing w:before="100" w:beforeAutospacing="1" w:after="100" w:afterAutospacing="1" w:line="360" w:lineRule="auto"/>
        <w:jc w:val="both"/>
        <w:rPr>
          <w:color w:val="000000"/>
        </w:rPr>
      </w:pPr>
      <w:r>
        <w:rPr>
          <w:color w:val="000000"/>
        </w:rPr>
        <w:tab/>
      </w:r>
      <w:r w:rsidRPr="002C3979">
        <w:rPr>
          <w:color w:val="000000"/>
        </w:rPr>
        <w:t xml:space="preserve">L’une des idées à mettre en œuvre dans ce </w:t>
      </w:r>
      <w:r>
        <w:rPr>
          <w:color w:val="000000"/>
        </w:rPr>
        <w:t xml:space="preserve">chapitre </w:t>
      </w:r>
      <w:r w:rsidRPr="002C3979">
        <w:rPr>
          <w:color w:val="000000"/>
        </w:rPr>
        <w:t xml:space="preserve">est la complémentarité des informations relatives à une fonction ou à un fragment moléculaire donné. Une bonne lecture de ce </w:t>
      </w:r>
      <w:r>
        <w:rPr>
          <w:color w:val="000000"/>
        </w:rPr>
        <w:t xml:space="preserve">chapitre </w:t>
      </w:r>
      <w:r w:rsidRPr="002C3979">
        <w:rPr>
          <w:color w:val="000000"/>
        </w:rPr>
        <w:t>nécessite une bonne conn</w:t>
      </w:r>
      <w:r>
        <w:rPr>
          <w:color w:val="000000"/>
        </w:rPr>
        <w:t>aissance des précédents. Ainsi</w:t>
      </w:r>
      <w:r w:rsidRPr="002C3979">
        <w:rPr>
          <w:color w:val="000000"/>
        </w:rPr>
        <w:t>, l'étude des vibrations des composés oxygénés et azotés nécessite la connaissance des vibrations associées aux groupements aliphatiques qui sont</w:t>
      </w:r>
      <w:r>
        <w:rPr>
          <w:color w:val="000000"/>
        </w:rPr>
        <w:t xml:space="preserve"> étudiées dans le chapitre précédent </w:t>
      </w:r>
      <w:r w:rsidRPr="002C3979">
        <w:rPr>
          <w:color w:val="000000"/>
        </w:rPr>
        <w:t xml:space="preserve">consacré aux composés hydrocarbonés. </w:t>
      </w:r>
    </w:p>
    <w:p w:rsidR="00C37EEF" w:rsidRPr="002C3979" w:rsidRDefault="00C37EEF" w:rsidP="00C37EEF">
      <w:pPr>
        <w:spacing w:before="100" w:beforeAutospacing="1" w:after="100" w:afterAutospacing="1" w:line="360" w:lineRule="auto"/>
        <w:jc w:val="both"/>
        <w:rPr>
          <w:color w:val="000000"/>
        </w:rPr>
      </w:pPr>
      <w:r>
        <w:rPr>
          <w:color w:val="000000"/>
        </w:rPr>
        <w:tab/>
      </w:r>
      <w:r w:rsidRPr="002C3979">
        <w:rPr>
          <w:color w:val="000000"/>
        </w:rPr>
        <w:t xml:space="preserve">Ce thème est consacré à l'étude des vibrations associées à des groupements ou à des composés organiques, </w:t>
      </w:r>
      <w:r>
        <w:rPr>
          <w:color w:val="000000"/>
        </w:rPr>
        <w:t xml:space="preserve">constitués </w:t>
      </w:r>
      <w:r w:rsidRPr="002C3979">
        <w:rPr>
          <w:color w:val="000000"/>
        </w:rPr>
        <w:t xml:space="preserve">des principales fonctions de la chimie organique. </w:t>
      </w:r>
    </w:p>
    <w:p w:rsidR="00C37EEF" w:rsidRPr="002C3979" w:rsidRDefault="00C37EEF" w:rsidP="00C37EEF">
      <w:pPr>
        <w:spacing w:before="100" w:beforeAutospacing="1" w:after="100" w:afterAutospacing="1" w:line="360" w:lineRule="auto"/>
        <w:jc w:val="both"/>
        <w:rPr>
          <w:color w:val="000000"/>
        </w:rPr>
      </w:pPr>
      <w:r w:rsidRPr="002C3979">
        <w:rPr>
          <w:color w:val="000000"/>
        </w:rPr>
        <w:t>*</w:t>
      </w:r>
      <w:r>
        <w:rPr>
          <w:color w:val="000000"/>
        </w:rPr>
        <w:t xml:space="preserve"> </w:t>
      </w:r>
      <w:r w:rsidRPr="002C3979">
        <w:rPr>
          <w:color w:val="000000"/>
        </w:rPr>
        <w:t xml:space="preserve">composés oxygénés : alcools, éthers, aldéhydes, cétones, acides, esters, anhydrides, lactones... avec l'étude des vibrations des groupements -OH, -OR, &gt;C=O. </w:t>
      </w:r>
    </w:p>
    <w:p w:rsidR="00C37EEF" w:rsidRDefault="00C37EEF" w:rsidP="00C37EEF">
      <w:pPr>
        <w:spacing w:before="100" w:beforeAutospacing="1" w:after="100" w:afterAutospacing="1" w:line="360" w:lineRule="auto"/>
        <w:jc w:val="both"/>
        <w:rPr>
          <w:color w:val="000000"/>
        </w:rPr>
      </w:pPr>
      <w:r>
        <w:rPr>
          <w:color w:val="000000"/>
        </w:rPr>
        <w:tab/>
      </w:r>
      <w:r w:rsidRPr="002C3979">
        <w:rPr>
          <w:color w:val="000000"/>
        </w:rPr>
        <w:t xml:space="preserve">Un nombre important de composés organiques comporte au moins un oxygène. Les liaisons avec cet atome subissent des vibrations d'élongation et de déformation observables en Infra Rouge. Ce thème est consacré à l'étude de ces vibrations </w:t>
      </w:r>
      <w:r>
        <w:rPr>
          <w:color w:val="000000"/>
        </w:rPr>
        <w:t xml:space="preserve">dans les </w:t>
      </w:r>
      <w:r w:rsidRPr="002C3979">
        <w:rPr>
          <w:color w:val="000000"/>
        </w:rPr>
        <w:t>familles suivan</w:t>
      </w:r>
      <w:r>
        <w:rPr>
          <w:color w:val="000000"/>
        </w:rPr>
        <w:t>tes : Alcools, Phénols, Ethers</w:t>
      </w:r>
      <w:r w:rsidRPr="002C3979">
        <w:rPr>
          <w:color w:val="000000"/>
        </w:rPr>
        <w:t>, Esters, Acides, Aldéhydes et Cétones.</w:t>
      </w:r>
    </w:p>
    <w:p w:rsidR="00C37EEF" w:rsidRPr="002C3979" w:rsidRDefault="00C37EEF" w:rsidP="00C37EEF">
      <w:pPr>
        <w:spacing w:before="100" w:beforeAutospacing="1" w:after="100" w:afterAutospacing="1" w:line="360" w:lineRule="auto"/>
        <w:jc w:val="both"/>
        <w:rPr>
          <w:color w:val="000000"/>
        </w:rPr>
      </w:pPr>
      <w:r>
        <w:rPr>
          <w:color w:val="000000"/>
        </w:rPr>
        <w:tab/>
      </w:r>
      <w:r w:rsidRPr="002C3979">
        <w:rPr>
          <w:color w:val="000000"/>
        </w:rPr>
        <w:t>La valence de l'oxygène étant 2, seuls deux types de liaison peuvent s'établir entre un oxygène et un autre atome de la molécule :</w:t>
      </w:r>
      <w:r>
        <w:rPr>
          <w:color w:val="000000"/>
        </w:rPr>
        <w:t xml:space="preserve"> </w:t>
      </w:r>
      <w:r w:rsidRPr="002C3979">
        <w:rPr>
          <w:color w:val="000000"/>
        </w:rPr>
        <w:t>soit une simple liaison : H-O-, soit une double liaison : &gt;C=O.</w:t>
      </w:r>
    </w:p>
    <w:p w:rsidR="00C37EEF" w:rsidRDefault="00C37EEF" w:rsidP="00C37EEF">
      <w:pPr>
        <w:spacing w:before="100" w:beforeAutospacing="1" w:after="100" w:afterAutospacing="1"/>
        <w:jc w:val="both"/>
        <w:outlineLvl w:val="0"/>
        <w:rPr>
          <w:b/>
          <w:bCs/>
          <w:kern w:val="36"/>
          <w:sz w:val="28"/>
          <w:szCs w:val="28"/>
        </w:rPr>
      </w:pPr>
      <w:r>
        <w:rPr>
          <w:b/>
          <w:bCs/>
          <w:kern w:val="36"/>
          <w:sz w:val="28"/>
          <w:szCs w:val="28"/>
        </w:rPr>
        <w:t>I – LES ALCOOLS ET LES PHENOLS</w:t>
      </w:r>
    </w:p>
    <w:p w:rsidR="00C37EEF" w:rsidRPr="00377B06" w:rsidRDefault="00C37EEF" w:rsidP="00C37EEF">
      <w:pPr>
        <w:spacing w:before="100" w:beforeAutospacing="1" w:after="100" w:afterAutospacing="1" w:line="360" w:lineRule="auto"/>
        <w:jc w:val="both"/>
        <w:outlineLvl w:val="0"/>
        <w:rPr>
          <w:b/>
          <w:bCs/>
          <w:kern w:val="36"/>
          <w:sz w:val="28"/>
          <w:szCs w:val="28"/>
        </w:rPr>
      </w:pPr>
      <w:r>
        <w:rPr>
          <w:b/>
          <w:bCs/>
          <w:kern w:val="36"/>
          <w:sz w:val="28"/>
          <w:szCs w:val="28"/>
        </w:rPr>
        <w:tab/>
        <w:t>I – 1 –</w:t>
      </w:r>
      <w:r w:rsidRPr="00377B06">
        <w:rPr>
          <w:b/>
          <w:bCs/>
          <w:kern w:val="36"/>
          <w:sz w:val="28"/>
          <w:szCs w:val="28"/>
        </w:rPr>
        <w:t xml:space="preserve"> Vibration de valence </w:t>
      </w:r>
      <w:r w:rsidRPr="00377B06">
        <w:rPr>
          <w:b/>
          <w:bCs/>
          <w:kern w:val="36"/>
          <w:sz w:val="28"/>
          <w:szCs w:val="28"/>
        </w:rPr>
        <w:sym w:font="Symbol" w:char="F06E"/>
      </w:r>
      <w:r w:rsidRPr="00377B06">
        <w:rPr>
          <w:b/>
          <w:bCs/>
          <w:kern w:val="36"/>
          <w:sz w:val="28"/>
          <w:szCs w:val="28"/>
          <w:vertAlign w:val="subscript"/>
        </w:rPr>
        <w:t>OH</w:t>
      </w:r>
      <w:r w:rsidRPr="00377B06">
        <w:rPr>
          <w:b/>
          <w:bCs/>
          <w:kern w:val="36"/>
          <w:sz w:val="28"/>
          <w:szCs w:val="28"/>
        </w:rPr>
        <w:t xml:space="preserve">     </w:t>
      </w:r>
    </w:p>
    <w:p w:rsidR="00C37EEF" w:rsidRDefault="00C37EEF" w:rsidP="00C37EEF">
      <w:pPr>
        <w:spacing w:before="100" w:beforeAutospacing="1" w:after="100" w:afterAutospacing="1" w:line="360" w:lineRule="auto"/>
        <w:jc w:val="both"/>
        <w:outlineLvl w:val="0"/>
        <w:rPr>
          <w:kern w:val="36"/>
        </w:rPr>
      </w:pPr>
      <w:r>
        <w:rPr>
          <w:kern w:val="36"/>
        </w:rPr>
        <w:tab/>
        <w:t>Les alcools ou phénols ne sont sous forme non associée qu’à l’état vapeur ou en solution très diluée dans un solvant non polaire. La bande d’absorption correspondante apparaît entre 3650 et 3600 cm</w:t>
      </w:r>
      <w:r>
        <w:rPr>
          <w:kern w:val="36"/>
          <w:vertAlign w:val="superscript"/>
        </w:rPr>
        <w:t>-1</w:t>
      </w:r>
      <w:r>
        <w:rPr>
          <w:kern w:val="36"/>
        </w:rPr>
        <w:t>.</w:t>
      </w:r>
    </w:p>
    <w:p w:rsidR="00C37EEF" w:rsidRDefault="00C37EEF" w:rsidP="007B5448">
      <w:pPr>
        <w:spacing w:before="100" w:beforeAutospacing="1" w:after="100" w:afterAutospacing="1" w:line="360" w:lineRule="auto"/>
        <w:jc w:val="both"/>
        <w:outlineLvl w:val="0"/>
        <w:rPr>
          <w:kern w:val="36"/>
        </w:rPr>
      </w:pPr>
      <w:r>
        <w:rPr>
          <w:kern w:val="36"/>
        </w:rPr>
        <w:tab/>
        <w:t xml:space="preserve">En solution plus concentrée, la bande  </w:t>
      </w:r>
      <w:r>
        <w:rPr>
          <w:kern w:val="36"/>
        </w:rPr>
        <w:sym w:font="Symbol" w:char="F06E"/>
      </w:r>
      <w:r>
        <w:rPr>
          <w:kern w:val="36"/>
          <w:vertAlign w:val="subscript"/>
        </w:rPr>
        <w:t>OH</w:t>
      </w:r>
      <w:r>
        <w:rPr>
          <w:kern w:val="36"/>
        </w:rPr>
        <w:t xml:space="preserve"> libre s’affaiblit au profit d’une bande plus large rattachée au mode </w:t>
      </w:r>
      <w:r>
        <w:rPr>
          <w:kern w:val="36"/>
        </w:rPr>
        <w:sym w:font="Symbol" w:char="F06E"/>
      </w:r>
      <w:r>
        <w:rPr>
          <w:kern w:val="36"/>
          <w:vertAlign w:val="subscript"/>
        </w:rPr>
        <w:t>OH</w:t>
      </w:r>
      <w:r>
        <w:rPr>
          <w:kern w:val="36"/>
        </w:rPr>
        <w:t xml:space="preserve"> associé. A l’état solide, liquide ou en solution très concentrée, on </w:t>
      </w:r>
      <w:r>
        <w:rPr>
          <w:kern w:val="36"/>
        </w:rPr>
        <w:lastRenderedPageBreak/>
        <w:t xml:space="preserve">remarque l’absence de la bande associée à  </w:t>
      </w:r>
      <w:r>
        <w:rPr>
          <w:kern w:val="36"/>
        </w:rPr>
        <w:sym w:font="Symbol" w:char="F06E"/>
      </w:r>
      <w:r>
        <w:rPr>
          <w:kern w:val="36"/>
          <w:vertAlign w:val="subscript"/>
        </w:rPr>
        <w:t>OH</w:t>
      </w:r>
      <w:r>
        <w:rPr>
          <w:kern w:val="36"/>
        </w:rPr>
        <w:t xml:space="preserve"> libre et la présence d’une bande généralement très forte et large au environ de 3400 et 3200 cm</w:t>
      </w:r>
      <w:r>
        <w:rPr>
          <w:kern w:val="36"/>
          <w:vertAlign w:val="superscript"/>
        </w:rPr>
        <w:t>-1</w:t>
      </w:r>
      <w:r>
        <w:rPr>
          <w:kern w:val="36"/>
        </w:rPr>
        <w:t xml:space="preserve"> attribuée à </w:t>
      </w:r>
      <w:r>
        <w:rPr>
          <w:kern w:val="36"/>
        </w:rPr>
        <w:sym w:font="Symbol" w:char="F06E"/>
      </w:r>
      <w:r>
        <w:rPr>
          <w:kern w:val="36"/>
          <w:vertAlign w:val="subscript"/>
        </w:rPr>
        <w:t>OH</w:t>
      </w:r>
      <w:r>
        <w:rPr>
          <w:kern w:val="36"/>
        </w:rPr>
        <w:t xml:space="preserve"> associé. Cet effet est illustré sur la figure ci-dessous dans laquelle les bandes d’absorption dans la région d’élongation des vibrateurs O-H sont présentées pour deux concentrations différentes de </w:t>
      </w:r>
      <w:proofErr w:type="spellStart"/>
      <w:r>
        <w:rPr>
          <w:kern w:val="36"/>
        </w:rPr>
        <w:t>cyclohexylcarbinol</w:t>
      </w:r>
      <w:proofErr w:type="spellEnd"/>
      <w:r>
        <w:rPr>
          <w:kern w:val="36"/>
        </w:rPr>
        <w:t xml:space="preserve"> en solution dans le tétrachlorure de carbone.</w:t>
      </w:r>
    </w:p>
    <w:p w:rsidR="00C37EEF" w:rsidRDefault="00C37EEF" w:rsidP="00C37EEF">
      <w:pPr>
        <w:jc w:val="center"/>
        <w:outlineLvl w:val="0"/>
        <w:rPr>
          <w:kern w:val="36"/>
        </w:rPr>
      </w:pPr>
      <w:r>
        <w:rPr>
          <w:noProof/>
          <w:kern w:val="36"/>
        </w:rPr>
        <w:drawing>
          <wp:inline distT="0" distB="0" distL="0" distR="0">
            <wp:extent cx="2438400" cy="2371725"/>
            <wp:effectExtent l="19050" t="0" r="0" b="0"/>
            <wp:docPr id="496" name="Image 4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6"/>
                    <pic:cNvPicPr>
                      <a:picLocks noChangeAspect="1" noChangeArrowheads="1"/>
                    </pic:cNvPicPr>
                  </pic:nvPicPr>
                  <pic:blipFill>
                    <a:blip r:embed="rId47" cstate="print">
                      <a:lum bright="-60000" contrast="84000"/>
                    </a:blip>
                    <a:srcRect/>
                    <a:stretch>
                      <a:fillRect/>
                    </a:stretch>
                  </pic:blipFill>
                  <pic:spPr bwMode="auto">
                    <a:xfrm>
                      <a:off x="0" y="0"/>
                      <a:ext cx="2438400" cy="2371725"/>
                    </a:xfrm>
                    <a:prstGeom prst="rect">
                      <a:avLst/>
                    </a:prstGeom>
                    <a:noFill/>
                    <a:ln w="9525">
                      <a:noFill/>
                      <a:miter lim="800000"/>
                      <a:headEnd/>
                      <a:tailEnd/>
                    </a:ln>
                  </pic:spPr>
                </pic:pic>
              </a:graphicData>
            </a:graphic>
          </wp:inline>
        </w:drawing>
      </w:r>
    </w:p>
    <w:p w:rsidR="00C37EEF" w:rsidRDefault="00C37EEF" w:rsidP="00C37EEF">
      <w:pPr>
        <w:spacing w:before="100" w:beforeAutospacing="1" w:after="100" w:afterAutospacing="1"/>
        <w:ind w:right="72"/>
        <w:jc w:val="center"/>
        <w:outlineLvl w:val="0"/>
        <w:rPr>
          <w:kern w:val="36"/>
        </w:rPr>
      </w:pPr>
      <w:r>
        <w:rPr>
          <w:kern w:val="36"/>
        </w:rPr>
        <w:t xml:space="preserve">Figure 1 : Spectres IR dans la région d’élongation O-H du </w:t>
      </w:r>
      <w:proofErr w:type="spellStart"/>
      <w:r>
        <w:rPr>
          <w:kern w:val="36"/>
        </w:rPr>
        <w:t>cyclohexylcarbinol</w:t>
      </w:r>
      <w:proofErr w:type="spellEnd"/>
      <w:r>
        <w:rPr>
          <w:kern w:val="36"/>
        </w:rPr>
        <w:t xml:space="preserve"> dans CCl</w:t>
      </w:r>
      <w:r>
        <w:rPr>
          <w:kern w:val="36"/>
          <w:vertAlign w:val="subscript"/>
        </w:rPr>
        <w:t>4</w:t>
      </w:r>
      <w:r>
        <w:rPr>
          <w:kern w:val="36"/>
        </w:rPr>
        <w:t>.</w:t>
      </w:r>
    </w:p>
    <w:p w:rsidR="00C37EEF" w:rsidRDefault="00C37EEF" w:rsidP="00C37EEF">
      <w:pPr>
        <w:spacing w:before="100" w:beforeAutospacing="1" w:after="100" w:afterAutospacing="1"/>
        <w:ind w:right="72"/>
        <w:jc w:val="center"/>
        <w:outlineLvl w:val="0"/>
        <w:rPr>
          <w:kern w:val="36"/>
        </w:rPr>
      </w:pPr>
      <w:r w:rsidRPr="00DF2EE1">
        <w:rPr>
          <w:b/>
          <w:bCs/>
          <w:kern w:val="36"/>
        </w:rPr>
        <w:t>A</w:t>
      </w:r>
      <w:r>
        <w:rPr>
          <w:kern w:val="36"/>
        </w:rPr>
        <w:t>: 3623 cm</w:t>
      </w:r>
      <w:r>
        <w:rPr>
          <w:kern w:val="36"/>
          <w:vertAlign w:val="superscript"/>
        </w:rPr>
        <w:t>-1 </w:t>
      </w:r>
      <w:r>
        <w:rPr>
          <w:kern w:val="36"/>
        </w:rPr>
        <w:t xml:space="preserve">: </w:t>
      </w:r>
      <w:r>
        <w:rPr>
          <w:kern w:val="36"/>
        </w:rPr>
        <w:sym w:font="Symbol" w:char="F06E"/>
      </w:r>
      <w:r>
        <w:rPr>
          <w:kern w:val="36"/>
          <w:vertAlign w:val="subscript"/>
        </w:rPr>
        <w:t>OH</w:t>
      </w:r>
      <w:r>
        <w:rPr>
          <w:kern w:val="36"/>
        </w:rPr>
        <w:t xml:space="preserve"> libre</w:t>
      </w:r>
      <w:r>
        <w:rPr>
          <w:kern w:val="36"/>
          <w:vertAlign w:val="superscript"/>
        </w:rPr>
        <w:t xml:space="preserve"> </w:t>
      </w:r>
      <w:r>
        <w:rPr>
          <w:kern w:val="36"/>
        </w:rPr>
        <w:t>(C=0,03M, cellule de 0,046 mm)</w:t>
      </w:r>
    </w:p>
    <w:p w:rsidR="00C37EEF" w:rsidRDefault="00C37EEF" w:rsidP="00C37EEF">
      <w:pPr>
        <w:spacing w:before="100" w:beforeAutospacing="1" w:after="100" w:afterAutospacing="1"/>
        <w:ind w:right="72"/>
        <w:jc w:val="center"/>
        <w:outlineLvl w:val="0"/>
        <w:rPr>
          <w:kern w:val="36"/>
        </w:rPr>
      </w:pPr>
      <w:r w:rsidRPr="00DF2EE1">
        <w:rPr>
          <w:b/>
          <w:bCs/>
          <w:kern w:val="36"/>
        </w:rPr>
        <w:t>B</w:t>
      </w:r>
      <w:r>
        <w:rPr>
          <w:kern w:val="36"/>
        </w:rPr>
        <w:t>: 3333 cm</w:t>
      </w:r>
      <w:r>
        <w:rPr>
          <w:kern w:val="36"/>
          <w:vertAlign w:val="superscript"/>
        </w:rPr>
        <w:t>-</w:t>
      </w:r>
      <w:r w:rsidRPr="00B870F7">
        <w:rPr>
          <w:kern w:val="36"/>
          <w:vertAlign w:val="superscript"/>
        </w:rPr>
        <w:t>1</w:t>
      </w:r>
      <w:r>
        <w:rPr>
          <w:kern w:val="36"/>
        </w:rPr>
        <w:t> </w:t>
      </w:r>
      <w:proofErr w:type="gramStart"/>
      <w:r>
        <w:rPr>
          <w:kern w:val="36"/>
        </w:rPr>
        <w:t>:</w:t>
      </w:r>
      <w:proofErr w:type="gramEnd"/>
      <w:r>
        <w:rPr>
          <w:kern w:val="36"/>
        </w:rPr>
        <w:sym w:font="Symbol" w:char="F06E"/>
      </w:r>
      <w:r>
        <w:rPr>
          <w:kern w:val="36"/>
          <w:vertAlign w:val="subscript"/>
        </w:rPr>
        <w:t>OH</w:t>
      </w:r>
      <w:r>
        <w:rPr>
          <w:kern w:val="36"/>
        </w:rPr>
        <w:t xml:space="preserve"> associé (C=1M, cellule de 0,014 mm)</w:t>
      </w:r>
    </w:p>
    <w:p w:rsidR="00C37EEF" w:rsidRDefault="00C37EEF" w:rsidP="00C37EEF">
      <w:pPr>
        <w:spacing w:before="100" w:beforeAutospacing="1" w:after="100" w:afterAutospacing="1" w:line="360" w:lineRule="auto"/>
        <w:jc w:val="both"/>
        <w:outlineLvl w:val="0"/>
        <w:rPr>
          <w:kern w:val="36"/>
        </w:rPr>
      </w:pPr>
      <w:r>
        <w:rPr>
          <w:kern w:val="36"/>
        </w:rPr>
        <w:t xml:space="preserve"> </w:t>
      </w:r>
      <w:r>
        <w:rPr>
          <w:kern w:val="36"/>
          <w:vertAlign w:val="subscript"/>
        </w:rPr>
        <w:t xml:space="preserve"> </w:t>
      </w:r>
      <w:r>
        <w:rPr>
          <w:kern w:val="36"/>
        </w:rPr>
        <w:tab/>
        <w:t>La bande à 3623 cm</w:t>
      </w:r>
      <w:r>
        <w:rPr>
          <w:kern w:val="36"/>
          <w:vertAlign w:val="superscript"/>
        </w:rPr>
        <w:t>-1 </w:t>
      </w:r>
      <w:r>
        <w:rPr>
          <w:kern w:val="36"/>
        </w:rPr>
        <w:t xml:space="preserve"> provient du monomère alors que l’absorption large vers 3333 cm</w:t>
      </w:r>
      <w:r>
        <w:rPr>
          <w:kern w:val="36"/>
          <w:vertAlign w:val="superscript"/>
        </w:rPr>
        <w:t xml:space="preserve">-1  </w:t>
      </w:r>
      <w:r>
        <w:rPr>
          <w:kern w:val="36"/>
        </w:rPr>
        <w:t>provient des structures « polymériques ».</w:t>
      </w:r>
    </w:p>
    <w:p w:rsidR="00C37EEF" w:rsidRDefault="00C37EEF" w:rsidP="00C37EEF">
      <w:pPr>
        <w:jc w:val="center"/>
        <w:outlineLvl w:val="0"/>
        <w:rPr>
          <w:kern w:val="36"/>
        </w:rPr>
      </w:pPr>
      <w:r>
        <w:rPr>
          <w:noProof/>
          <w:kern w:val="36"/>
        </w:rPr>
        <w:drawing>
          <wp:inline distT="0" distB="0" distL="0" distR="0">
            <wp:extent cx="2133600" cy="619125"/>
            <wp:effectExtent l="19050" t="0" r="0" b="0"/>
            <wp:docPr id="497" name="Image 4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7"/>
                    <pic:cNvPicPr>
                      <a:picLocks noChangeAspect="1" noChangeArrowheads="1"/>
                    </pic:cNvPicPr>
                  </pic:nvPicPr>
                  <pic:blipFill>
                    <a:blip r:embed="rId48" cstate="print"/>
                    <a:srcRect/>
                    <a:stretch>
                      <a:fillRect/>
                    </a:stretch>
                  </pic:blipFill>
                  <pic:spPr bwMode="auto">
                    <a:xfrm>
                      <a:off x="0" y="0"/>
                      <a:ext cx="2133600" cy="619125"/>
                    </a:xfrm>
                    <a:prstGeom prst="rect">
                      <a:avLst/>
                    </a:prstGeom>
                    <a:noFill/>
                    <a:ln w="9525">
                      <a:noFill/>
                      <a:miter lim="800000"/>
                      <a:headEnd/>
                      <a:tailEnd/>
                    </a:ln>
                  </pic:spPr>
                </pic:pic>
              </a:graphicData>
            </a:graphic>
          </wp:inline>
        </w:drawing>
      </w:r>
    </w:p>
    <w:p w:rsidR="00C37EEF" w:rsidRDefault="00C37EEF" w:rsidP="00C37EEF">
      <w:pPr>
        <w:spacing w:before="100" w:beforeAutospacing="1" w:line="360" w:lineRule="auto"/>
        <w:jc w:val="both"/>
        <w:outlineLvl w:val="0"/>
        <w:rPr>
          <w:kern w:val="36"/>
        </w:rPr>
      </w:pPr>
      <w:r>
        <w:rPr>
          <w:kern w:val="36"/>
        </w:rPr>
        <w:tab/>
        <w:t>Les ponts hydrogène intramoléculaires importants, apparaissent dans l’o-</w:t>
      </w:r>
      <w:proofErr w:type="spellStart"/>
      <w:r>
        <w:rPr>
          <w:kern w:val="36"/>
        </w:rPr>
        <w:t>hydroxyacétophénone</w:t>
      </w:r>
      <w:proofErr w:type="spellEnd"/>
      <w:r>
        <w:rPr>
          <w:kern w:val="36"/>
        </w:rPr>
        <w:t>. L’absorption résultante à 3077 cm</w:t>
      </w:r>
      <w:r>
        <w:rPr>
          <w:kern w:val="36"/>
          <w:vertAlign w:val="superscript"/>
        </w:rPr>
        <w:t>-1</w:t>
      </w:r>
      <w:r>
        <w:rPr>
          <w:kern w:val="36"/>
        </w:rPr>
        <w:t xml:space="preserve"> est large et faible, et indépendante de la concentration.</w:t>
      </w:r>
    </w:p>
    <w:p w:rsidR="00C37EEF" w:rsidRDefault="00C37EEF" w:rsidP="00C37EEF">
      <w:pPr>
        <w:jc w:val="center"/>
        <w:outlineLvl w:val="0"/>
      </w:pPr>
      <w:r>
        <w:object w:dxaOrig="2472" w:dyaOrig="2272">
          <v:shape id="_x0000_i1025" type="#_x0000_t75" style="width:123pt;height:100pt" o:ole="">
            <v:imagedata r:id="rId49" o:title=""/>
          </v:shape>
          <o:OLEObject Type="Embed" ProgID="ChemDraw.Document.4.5" ShapeID="_x0000_i1025" DrawAspect="Content" ObjectID="_1572675395" r:id="rId50"/>
        </w:object>
      </w:r>
    </w:p>
    <w:p w:rsidR="00C37EEF" w:rsidRDefault="00C37EEF" w:rsidP="00C37EEF">
      <w:pPr>
        <w:spacing w:after="100" w:afterAutospacing="1" w:line="360" w:lineRule="auto"/>
        <w:jc w:val="center"/>
        <w:outlineLvl w:val="0"/>
        <w:rPr>
          <w:kern w:val="36"/>
        </w:rPr>
      </w:pPr>
      <w:proofErr w:type="gramStart"/>
      <w:r>
        <w:rPr>
          <w:kern w:val="36"/>
        </w:rPr>
        <w:t>l’o</w:t>
      </w:r>
      <w:proofErr w:type="gramEnd"/>
      <w:r>
        <w:rPr>
          <w:kern w:val="36"/>
        </w:rPr>
        <w:t>-</w:t>
      </w:r>
      <w:proofErr w:type="spellStart"/>
      <w:r>
        <w:rPr>
          <w:kern w:val="36"/>
        </w:rPr>
        <w:t>hydroxyacétophénone</w:t>
      </w:r>
      <w:proofErr w:type="spellEnd"/>
    </w:p>
    <w:p w:rsidR="00C37EEF" w:rsidRDefault="00C37EEF" w:rsidP="00C37EEF">
      <w:pPr>
        <w:spacing w:after="100" w:afterAutospacing="1" w:line="360" w:lineRule="auto"/>
        <w:jc w:val="both"/>
        <w:outlineLvl w:val="0"/>
        <w:rPr>
          <w:kern w:val="36"/>
        </w:rPr>
      </w:pPr>
      <w:r>
        <w:rPr>
          <w:kern w:val="36"/>
        </w:rPr>
        <w:lastRenderedPageBreak/>
        <w:tab/>
        <w:t>Les liaisons hydrogène des phénols sont affaiblies lorsque l’encombrement stérique augmente. Dans les structures comme le 2,6-di-t-</w:t>
      </w:r>
      <w:proofErr w:type="spellStart"/>
      <w:r>
        <w:rPr>
          <w:kern w:val="36"/>
        </w:rPr>
        <w:t>butylephénol</w:t>
      </w:r>
      <w:proofErr w:type="spellEnd"/>
      <w:r>
        <w:rPr>
          <w:kern w:val="36"/>
        </w:rPr>
        <w:t>, dans lesquelles l’encombrement stérique empêche les ponts hydrogène, aucune bande d’hydroxyle lié n’est observée, même pas pour les spectres d’échantillons purs.</w:t>
      </w:r>
    </w:p>
    <w:p w:rsidR="00C37EEF" w:rsidRDefault="00C37EEF" w:rsidP="00C37EEF">
      <w:pPr>
        <w:spacing w:before="100" w:beforeAutospacing="1" w:after="100" w:afterAutospacing="1"/>
        <w:jc w:val="center"/>
        <w:outlineLvl w:val="0"/>
      </w:pPr>
      <w:r>
        <w:object w:dxaOrig="3572" w:dyaOrig="1976">
          <v:shape id="_x0000_i1026" type="#_x0000_t75" style="width:169pt;height:94pt" o:ole="">
            <v:imagedata r:id="rId51" o:title=""/>
          </v:shape>
          <o:OLEObject Type="Embed" ProgID="ChemDraw.Document.4.5" ShapeID="_x0000_i1026" DrawAspect="Content" ObjectID="_1572675396" r:id="rId52"/>
        </w:object>
      </w:r>
    </w:p>
    <w:p w:rsidR="00C37EEF" w:rsidRPr="00266686" w:rsidRDefault="00C37EEF" w:rsidP="00C37EEF">
      <w:pPr>
        <w:spacing w:before="100" w:beforeAutospacing="1" w:after="100" w:afterAutospacing="1" w:line="360" w:lineRule="auto"/>
        <w:jc w:val="center"/>
        <w:outlineLvl w:val="0"/>
        <w:rPr>
          <w:kern w:val="36"/>
        </w:rPr>
      </w:pPr>
      <w:r>
        <w:rPr>
          <w:kern w:val="36"/>
        </w:rPr>
        <w:t>2,6-di-t-</w:t>
      </w:r>
      <w:proofErr w:type="spellStart"/>
      <w:r>
        <w:rPr>
          <w:kern w:val="36"/>
        </w:rPr>
        <w:t>butylephénol</w:t>
      </w:r>
      <w:proofErr w:type="spellEnd"/>
    </w:p>
    <w:p w:rsidR="00C37EEF" w:rsidRPr="00C20CC7" w:rsidRDefault="00C37EEF" w:rsidP="00C37EEF">
      <w:pPr>
        <w:autoSpaceDE w:val="0"/>
        <w:autoSpaceDN w:val="0"/>
        <w:adjustRightInd w:val="0"/>
        <w:spacing w:line="360" w:lineRule="auto"/>
        <w:jc w:val="both"/>
        <w:rPr>
          <w:color w:val="000000"/>
        </w:rPr>
      </w:pPr>
      <w:r>
        <w:rPr>
          <w:color w:val="000000"/>
        </w:rPr>
        <w:tab/>
      </w:r>
      <w:r w:rsidRPr="00163B8C">
        <w:rPr>
          <w:color w:val="000000"/>
        </w:rPr>
        <w:t xml:space="preserve">On peut éventuellement confondre la bande </w:t>
      </w:r>
      <w:r>
        <w:rPr>
          <w:color w:val="000000"/>
        </w:rPr>
        <w:sym w:font="Symbol" w:char="F06E"/>
      </w:r>
      <w:r w:rsidRPr="00163B8C">
        <w:rPr>
          <w:color w:val="000000"/>
          <w:vertAlign w:val="subscript"/>
        </w:rPr>
        <w:t>OH</w:t>
      </w:r>
      <w:r w:rsidRPr="00163B8C">
        <w:rPr>
          <w:color w:val="000000"/>
        </w:rPr>
        <w:t xml:space="preserve"> avec une bande </w:t>
      </w:r>
      <w:r>
        <w:rPr>
          <w:color w:val="000000"/>
        </w:rPr>
        <w:sym w:font="Symbol" w:char="F06E"/>
      </w:r>
      <w:r w:rsidRPr="00163B8C">
        <w:rPr>
          <w:color w:val="000000"/>
          <w:vertAlign w:val="subscript"/>
        </w:rPr>
        <w:t>NH</w:t>
      </w:r>
      <w:r>
        <w:rPr>
          <w:color w:val="000000"/>
        </w:rPr>
        <w:t xml:space="preserve"> mais cett</w:t>
      </w:r>
      <w:r w:rsidRPr="00163B8C">
        <w:rPr>
          <w:color w:val="000000"/>
        </w:rPr>
        <w:t>e dernière est moins large (car la liaison</w:t>
      </w:r>
      <w:r>
        <w:rPr>
          <w:color w:val="000000"/>
        </w:rPr>
        <w:t xml:space="preserve"> </w:t>
      </w:r>
      <w:r w:rsidRPr="00163B8C">
        <w:rPr>
          <w:color w:val="000000"/>
        </w:rPr>
        <w:t>hydrogène N....H est moins forte que la liaison O....H) et se présente sous forme d’un doublet (vibration symétrique et asymétrique)</w:t>
      </w:r>
      <w:r>
        <w:rPr>
          <w:color w:val="000000"/>
        </w:rPr>
        <w:t xml:space="preserve"> </w:t>
      </w:r>
      <w:r w:rsidRPr="00163B8C">
        <w:rPr>
          <w:color w:val="000000"/>
        </w:rPr>
        <w:t>quand il s’agit de NH</w:t>
      </w:r>
      <w:r w:rsidRPr="00163B8C">
        <w:rPr>
          <w:color w:val="000000"/>
          <w:vertAlign w:val="subscript"/>
        </w:rPr>
        <w:t>2</w:t>
      </w:r>
      <w:r>
        <w:rPr>
          <w:color w:val="000000"/>
        </w:rPr>
        <w:t>.</w:t>
      </w:r>
    </w:p>
    <w:p w:rsidR="00C37EEF" w:rsidRPr="00377B06" w:rsidRDefault="00C37EEF" w:rsidP="00C37EEF">
      <w:pPr>
        <w:spacing w:before="100" w:beforeAutospacing="1" w:after="100" w:afterAutospacing="1"/>
        <w:jc w:val="both"/>
        <w:outlineLvl w:val="0"/>
        <w:rPr>
          <w:b/>
          <w:bCs/>
          <w:kern w:val="36"/>
          <w:sz w:val="28"/>
          <w:szCs w:val="28"/>
        </w:rPr>
      </w:pPr>
      <w:r w:rsidRPr="00377B06">
        <w:rPr>
          <w:b/>
          <w:bCs/>
          <w:sz w:val="28"/>
          <w:szCs w:val="28"/>
        </w:rPr>
        <w:t xml:space="preserve">I – 2 - Vibration de valence </w:t>
      </w:r>
      <w:r w:rsidRPr="00377B06">
        <w:rPr>
          <w:b/>
          <w:bCs/>
          <w:kern w:val="36"/>
          <w:sz w:val="28"/>
          <w:szCs w:val="28"/>
        </w:rPr>
        <w:sym w:font="Symbol" w:char="F06E"/>
      </w:r>
      <w:r w:rsidRPr="00377B06">
        <w:rPr>
          <w:b/>
          <w:bCs/>
          <w:kern w:val="36"/>
          <w:sz w:val="28"/>
          <w:szCs w:val="28"/>
          <w:vertAlign w:val="subscript"/>
        </w:rPr>
        <w:t>C-O</w:t>
      </w:r>
    </w:p>
    <w:p w:rsidR="00C37EEF" w:rsidRDefault="00C37EEF" w:rsidP="00C37EEF">
      <w:pPr>
        <w:spacing w:before="100" w:beforeAutospacing="1" w:after="100" w:afterAutospacing="1" w:line="360" w:lineRule="auto"/>
        <w:jc w:val="both"/>
        <w:outlineLvl w:val="0"/>
        <w:rPr>
          <w:color w:val="000000"/>
        </w:rPr>
      </w:pPr>
      <w:r>
        <w:rPr>
          <w:kern w:val="36"/>
        </w:rPr>
        <w:tab/>
        <w:t xml:space="preserve">La fréquence </w:t>
      </w:r>
      <w:r>
        <w:rPr>
          <w:kern w:val="36"/>
        </w:rPr>
        <w:sym w:font="Symbol" w:char="F06E"/>
      </w:r>
      <w:r>
        <w:rPr>
          <w:kern w:val="36"/>
          <w:vertAlign w:val="subscript"/>
        </w:rPr>
        <w:t xml:space="preserve">CO </w:t>
      </w:r>
      <w:r>
        <w:rPr>
          <w:kern w:val="36"/>
        </w:rPr>
        <w:t>des alcools se situe entre 1260 et 1000 cm</w:t>
      </w:r>
      <w:r>
        <w:rPr>
          <w:kern w:val="36"/>
          <w:vertAlign w:val="superscript"/>
        </w:rPr>
        <w:t>-1</w:t>
      </w:r>
      <w:r>
        <w:rPr>
          <w:kern w:val="36"/>
        </w:rPr>
        <w:t xml:space="preserve">. Elle donne une bande intense, souvent dédoublée et peu sensible à l’état d’association. Sa </w:t>
      </w:r>
      <w:r w:rsidRPr="00B46D34">
        <w:rPr>
          <w:kern w:val="36"/>
        </w:rPr>
        <w:t>position</w:t>
      </w:r>
      <w:r w:rsidRPr="00B46D34">
        <w:rPr>
          <w:color w:val="000000"/>
          <w:sz w:val="22"/>
          <w:szCs w:val="22"/>
        </w:rPr>
        <w:t xml:space="preserve"> permet souvent de déterminer la classe de l'alcool grâce à l'effet des </w:t>
      </w:r>
      <w:proofErr w:type="spellStart"/>
      <w:r w:rsidRPr="00B46D34">
        <w:rPr>
          <w:color w:val="000000"/>
          <w:sz w:val="22"/>
          <w:szCs w:val="22"/>
        </w:rPr>
        <w:t>substituants</w:t>
      </w:r>
      <w:proofErr w:type="spellEnd"/>
      <w:r w:rsidRPr="00B46D34">
        <w:rPr>
          <w:color w:val="000000"/>
          <w:sz w:val="22"/>
          <w:szCs w:val="22"/>
        </w:rPr>
        <w:t>.</w:t>
      </w:r>
      <w:r w:rsidRPr="00B46D34">
        <w:rPr>
          <w:color w:val="000000"/>
          <w:sz w:val="22"/>
          <w:szCs w:val="22"/>
        </w:rPr>
        <w:br/>
      </w:r>
      <w:r>
        <w:rPr>
          <w:color w:val="000000"/>
          <w:sz w:val="22"/>
          <w:szCs w:val="22"/>
        </w:rPr>
        <w:tab/>
      </w:r>
      <w:r w:rsidRPr="00B46D34">
        <w:rPr>
          <w:color w:val="000000"/>
        </w:rPr>
        <w:t>Un alcool primai</w:t>
      </w:r>
      <w:r>
        <w:rPr>
          <w:color w:val="000000"/>
        </w:rPr>
        <w:t xml:space="preserve">re présente une élongation C-O </w:t>
      </w:r>
      <w:r>
        <w:rPr>
          <w:kern w:val="36"/>
        </w:rPr>
        <w:t>entre 1000 et 1075 cm</w:t>
      </w:r>
      <w:r>
        <w:rPr>
          <w:kern w:val="36"/>
          <w:vertAlign w:val="superscript"/>
        </w:rPr>
        <w:t>-1</w:t>
      </w:r>
      <w:r w:rsidRPr="00B46D34">
        <w:rPr>
          <w:color w:val="000000"/>
        </w:rPr>
        <w:t xml:space="preserve"> fréquence plus faible que celle d'un alcool secondaire</w:t>
      </w:r>
      <w:r>
        <w:rPr>
          <w:color w:val="000000"/>
        </w:rPr>
        <w:t xml:space="preserve">, elle-même étant </w:t>
      </w:r>
      <w:r w:rsidRPr="00B46D34">
        <w:rPr>
          <w:color w:val="000000"/>
        </w:rPr>
        <w:t xml:space="preserve"> </w:t>
      </w:r>
      <w:r>
        <w:rPr>
          <w:kern w:val="36"/>
        </w:rPr>
        <w:t>entre 1090 et 1130 cm</w:t>
      </w:r>
      <w:r>
        <w:rPr>
          <w:kern w:val="36"/>
          <w:vertAlign w:val="superscript"/>
        </w:rPr>
        <w:t>-1</w:t>
      </w:r>
      <w:r>
        <w:rPr>
          <w:kern w:val="36"/>
        </w:rPr>
        <w:t xml:space="preserve">  </w:t>
      </w:r>
      <w:r w:rsidRPr="00B46D34">
        <w:rPr>
          <w:color w:val="000000"/>
        </w:rPr>
        <w:t>fréquence plus faible que la fréquence d'élongation d'un alcool tertiaire</w:t>
      </w:r>
      <w:r>
        <w:rPr>
          <w:color w:val="000000"/>
        </w:rPr>
        <w:t xml:space="preserve"> qui apparaît </w:t>
      </w:r>
      <w:r>
        <w:rPr>
          <w:kern w:val="36"/>
        </w:rPr>
        <w:t>au environ de 1100 et 1210 cm</w:t>
      </w:r>
      <w:r>
        <w:rPr>
          <w:kern w:val="36"/>
          <w:vertAlign w:val="superscript"/>
        </w:rPr>
        <w:t>-1</w:t>
      </w:r>
      <w:r w:rsidRPr="00B46D34">
        <w:rPr>
          <w:color w:val="000000"/>
        </w:rPr>
        <w:t>.</w:t>
      </w:r>
    </w:p>
    <w:p w:rsidR="00C37EEF" w:rsidRPr="007F72D7" w:rsidRDefault="00C37EEF" w:rsidP="00C37EEF">
      <w:pPr>
        <w:spacing w:before="100" w:beforeAutospacing="1" w:after="100" w:afterAutospacing="1" w:line="360" w:lineRule="auto"/>
        <w:jc w:val="both"/>
        <w:rPr>
          <w:color w:val="000000"/>
        </w:rPr>
      </w:pPr>
      <w:r>
        <w:rPr>
          <w:rFonts w:ascii="Arial" w:hAnsi="Arial" w:cs="Arial"/>
          <w:color w:val="000000"/>
          <w:sz w:val="22"/>
          <w:szCs w:val="22"/>
        </w:rPr>
        <w:tab/>
      </w:r>
      <w:r>
        <w:rPr>
          <w:color w:val="000000"/>
        </w:rPr>
        <w:t>Ainsi, c</w:t>
      </w:r>
      <w:r w:rsidRPr="007F72D7">
        <w:rPr>
          <w:color w:val="000000"/>
        </w:rPr>
        <w:t>haque fois qu'une liaison C-C supplémentaire intervient, la résistance au mouvement de vibration C-O s'accentue. Cela a pour effet d'augmenter la fréquence de la vibration d'élongat</w:t>
      </w:r>
      <w:r>
        <w:rPr>
          <w:color w:val="000000"/>
        </w:rPr>
        <w:t>ion.</w:t>
      </w:r>
    </w:p>
    <w:p w:rsidR="00C37EEF" w:rsidRDefault="00C37EEF" w:rsidP="00C37EEF">
      <w:pPr>
        <w:spacing w:before="100" w:beforeAutospacing="1" w:after="100" w:afterAutospacing="1" w:line="360" w:lineRule="auto"/>
        <w:jc w:val="both"/>
        <w:outlineLvl w:val="0"/>
        <w:rPr>
          <w:kern w:val="36"/>
        </w:rPr>
      </w:pPr>
      <w:r>
        <w:rPr>
          <w:kern w:val="36"/>
        </w:rPr>
        <w:tab/>
        <w:t xml:space="preserve">Ces valeurs sont généralement abaissées lorsqu’il y a des ramifications sur le carbone en </w:t>
      </w:r>
      <w:r>
        <w:rPr>
          <w:kern w:val="36"/>
        </w:rPr>
        <w:sym w:font="Symbol" w:char="F061"/>
      </w:r>
      <w:r>
        <w:rPr>
          <w:kern w:val="36"/>
        </w:rPr>
        <w:t xml:space="preserve"> du groupement COH. La présence d’une double liaison </w:t>
      </w:r>
      <w:proofErr w:type="gramStart"/>
      <w:r>
        <w:rPr>
          <w:kern w:val="36"/>
        </w:rPr>
        <w:t xml:space="preserve">en </w:t>
      </w:r>
      <w:proofErr w:type="gramEnd"/>
      <w:r>
        <w:rPr>
          <w:kern w:val="36"/>
        </w:rPr>
        <w:sym w:font="Symbol" w:char="F061"/>
      </w:r>
      <w:r>
        <w:rPr>
          <w:kern w:val="36"/>
        </w:rPr>
        <w:t>,</w:t>
      </w:r>
      <w:r>
        <w:rPr>
          <w:kern w:val="36"/>
        </w:rPr>
        <w:sym w:font="Symbol" w:char="F062"/>
      </w:r>
      <w:r>
        <w:rPr>
          <w:kern w:val="36"/>
        </w:rPr>
        <w:t xml:space="preserve"> abaisse également la fréquence </w:t>
      </w:r>
      <w:r>
        <w:rPr>
          <w:kern w:val="36"/>
        </w:rPr>
        <w:sym w:font="Symbol" w:char="F06E"/>
      </w:r>
      <w:r w:rsidRPr="005C0186">
        <w:rPr>
          <w:kern w:val="36"/>
          <w:vertAlign w:val="subscript"/>
        </w:rPr>
        <w:t>CO</w:t>
      </w:r>
      <w:r>
        <w:rPr>
          <w:kern w:val="36"/>
        </w:rPr>
        <w:t xml:space="preserve"> (de l’ordre de 30 à 50 cm</w:t>
      </w:r>
      <w:r>
        <w:rPr>
          <w:kern w:val="36"/>
          <w:vertAlign w:val="superscript"/>
        </w:rPr>
        <w:t>-1</w:t>
      </w:r>
      <w:r>
        <w:rPr>
          <w:kern w:val="36"/>
        </w:rPr>
        <w:t xml:space="preserve"> par double liaison). L’effet est encore plus marqué si la double liaison est dans un cycle aromatique.</w:t>
      </w:r>
    </w:p>
    <w:p w:rsidR="00C37EEF" w:rsidRPr="00377B06" w:rsidRDefault="00C37EEF" w:rsidP="00C37EEF">
      <w:pPr>
        <w:spacing w:before="100" w:beforeAutospacing="1" w:after="100" w:afterAutospacing="1" w:line="360" w:lineRule="auto"/>
        <w:jc w:val="both"/>
        <w:outlineLvl w:val="0"/>
        <w:rPr>
          <w:b/>
          <w:bCs/>
          <w:kern w:val="36"/>
          <w:sz w:val="28"/>
          <w:szCs w:val="28"/>
        </w:rPr>
      </w:pPr>
      <w:r w:rsidRPr="00377B06">
        <w:rPr>
          <w:b/>
          <w:bCs/>
          <w:kern w:val="36"/>
          <w:sz w:val="28"/>
          <w:szCs w:val="28"/>
        </w:rPr>
        <w:lastRenderedPageBreak/>
        <w:t>I – 3 – Vibration de déformation angulaire du vibrateur O-H</w:t>
      </w:r>
    </w:p>
    <w:p w:rsidR="00C37EEF" w:rsidRDefault="00C37EEF" w:rsidP="00C37EEF">
      <w:pPr>
        <w:spacing w:before="100" w:beforeAutospacing="1" w:after="100" w:afterAutospacing="1" w:line="360" w:lineRule="auto"/>
        <w:jc w:val="both"/>
        <w:outlineLvl w:val="0"/>
        <w:rPr>
          <w:kern w:val="36"/>
        </w:rPr>
      </w:pPr>
      <w:r>
        <w:rPr>
          <w:kern w:val="36"/>
        </w:rPr>
        <w:tab/>
        <w:t>La vibration de déformation dans le plan du vibrateur O-H apparaît entre 1420 et 1330 cm</w:t>
      </w:r>
      <w:r>
        <w:rPr>
          <w:kern w:val="36"/>
          <w:vertAlign w:val="superscript"/>
        </w:rPr>
        <w:t>-1</w:t>
      </w:r>
      <w:r>
        <w:rPr>
          <w:kern w:val="36"/>
        </w:rPr>
        <w:t>. Dans les alcools primaires et secondaires, la déformation dans le plan du vibrateur O-H se couple avec les vibrations de balancement hors du plan du vibrateur C-H pour donner deux bandes : la première proche de 1420 cm</w:t>
      </w:r>
      <w:r>
        <w:rPr>
          <w:kern w:val="36"/>
          <w:vertAlign w:val="superscript"/>
        </w:rPr>
        <w:t>-1</w:t>
      </w:r>
      <w:r>
        <w:rPr>
          <w:kern w:val="36"/>
        </w:rPr>
        <w:t xml:space="preserve"> et la seconde proche de 1330 cm</w:t>
      </w:r>
      <w:r>
        <w:rPr>
          <w:kern w:val="36"/>
          <w:vertAlign w:val="superscript"/>
        </w:rPr>
        <w:t>-1</w:t>
      </w:r>
      <w:r>
        <w:rPr>
          <w:kern w:val="36"/>
        </w:rPr>
        <w:t xml:space="preserve">. Ces bandes sont peu caractéristiques. Les alcools tertiaires, dans lesquels il n’y a aucun couplage, présentent une bande unique dans cette région. </w:t>
      </w:r>
    </w:p>
    <w:p w:rsidR="00C37EEF" w:rsidRDefault="00C37EEF" w:rsidP="00C37EEF">
      <w:pPr>
        <w:spacing w:before="100" w:beforeAutospacing="1" w:after="100" w:afterAutospacing="1" w:line="360" w:lineRule="auto"/>
        <w:jc w:val="both"/>
        <w:outlineLvl w:val="0"/>
        <w:rPr>
          <w:kern w:val="36"/>
        </w:rPr>
      </w:pPr>
      <w:r>
        <w:rPr>
          <w:kern w:val="36"/>
        </w:rPr>
        <w:tab/>
        <w:t>Les spectres des alcools et des phénols pris à l’état liquide, présentent une large bande d’absorption entre 770 et 650 cm</w:t>
      </w:r>
      <w:r>
        <w:rPr>
          <w:kern w:val="36"/>
          <w:vertAlign w:val="superscript"/>
        </w:rPr>
        <w:t>-1</w:t>
      </w:r>
      <w:r>
        <w:rPr>
          <w:kern w:val="36"/>
        </w:rPr>
        <w:t xml:space="preserve">, à cause de la déformation hors du plan du groupe O-H lié. </w:t>
      </w:r>
      <w:r>
        <w:rPr>
          <w:kern w:val="36"/>
        </w:rPr>
        <w:tab/>
        <w:t>Le spectre ci-dessous présente des absorptions typiques des alcools.</w:t>
      </w:r>
    </w:p>
    <w:p w:rsidR="00C37EEF" w:rsidRDefault="00C37EEF" w:rsidP="00C37EEF">
      <w:pPr>
        <w:spacing w:after="100" w:afterAutospacing="1"/>
        <w:jc w:val="center"/>
        <w:outlineLvl w:val="0"/>
        <w:rPr>
          <w:kern w:val="36"/>
        </w:rPr>
      </w:pPr>
      <w:r>
        <w:rPr>
          <w:noProof/>
          <w:kern w:val="36"/>
        </w:rPr>
        <w:drawing>
          <wp:inline distT="0" distB="0" distL="0" distR="0">
            <wp:extent cx="5762625" cy="2800350"/>
            <wp:effectExtent l="19050" t="0" r="9525" b="0"/>
            <wp:docPr id="500" name="Image 5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0"/>
                    <pic:cNvPicPr>
                      <a:picLocks noChangeAspect="1" noChangeArrowheads="1"/>
                    </pic:cNvPicPr>
                  </pic:nvPicPr>
                  <pic:blipFill>
                    <a:blip r:embed="rId53" cstate="print"/>
                    <a:srcRect/>
                    <a:stretch>
                      <a:fillRect/>
                    </a:stretch>
                  </pic:blipFill>
                  <pic:spPr bwMode="auto">
                    <a:xfrm>
                      <a:off x="0" y="0"/>
                      <a:ext cx="5762625" cy="2800350"/>
                    </a:xfrm>
                    <a:prstGeom prst="rect">
                      <a:avLst/>
                    </a:prstGeom>
                    <a:noFill/>
                    <a:ln w="9525">
                      <a:noFill/>
                      <a:miter lim="800000"/>
                      <a:headEnd/>
                      <a:tailEnd/>
                    </a:ln>
                  </pic:spPr>
                </pic:pic>
              </a:graphicData>
            </a:graphic>
          </wp:inline>
        </w:drawing>
      </w:r>
    </w:p>
    <w:p w:rsidR="00C37EEF" w:rsidRDefault="00C37EEF" w:rsidP="00C37EEF">
      <w:pPr>
        <w:spacing w:before="100" w:beforeAutospacing="1" w:after="100" w:afterAutospacing="1" w:line="360" w:lineRule="auto"/>
        <w:jc w:val="center"/>
        <w:outlineLvl w:val="0"/>
        <w:rPr>
          <w:kern w:val="36"/>
        </w:rPr>
      </w:pPr>
      <w:r>
        <w:rPr>
          <w:kern w:val="36"/>
        </w:rPr>
        <w:t>Figure : Spectre IR du 2</w:t>
      </w:r>
      <w:proofErr w:type="gramStart"/>
      <w:r>
        <w:rPr>
          <w:kern w:val="36"/>
        </w:rPr>
        <w:t>,4,4</w:t>
      </w:r>
      <w:proofErr w:type="gramEnd"/>
      <w:r>
        <w:rPr>
          <w:kern w:val="36"/>
        </w:rPr>
        <w:t>-</w:t>
      </w:r>
      <w:proofErr w:type="spellStart"/>
      <w:r>
        <w:rPr>
          <w:kern w:val="36"/>
        </w:rPr>
        <w:t>triméthylpentan</w:t>
      </w:r>
      <w:proofErr w:type="spellEnd"/>
      <w:r>
        <w:rPr>
          <w:kern w:val="36"/>
        </w:rPr>
        <w:t>-1-</w:t>
      </w:r>
      <w:proofErr w:type="spellStart"/>
      <w:r>
        <w:rPr>
          <w:kern w:val="36"/>
        </w:rPr>
        <w:t>ol</w:t>
      </w:r>
      <w:proofErr w:type="spellEnd"/>
      <w:r>
        <w:rPr>
          <w:kern w:val="36"/>
        </w:rPr>
        <w:t>.</w:t>
      </w:r>
    </w:p>
    <w:p w:rsidR="00C37EEF" w:rsidRPr="00027DEA" w:rsidRDefault="00C37EEF" w:rsidP="00C37EEF">
      <w:pPr>
        <w:spacing w:before="100" w:beforeAutospacing="1" w:after="100" w:afterAutospacing="1" w:line="360" w:lineRule="auto"/>
        <w:jc w:val="both"/>
        <w:outlineLvl w:val="0"/>
        <w:rPr>
          <w:kern w:val="36"/>
        </w:rPr>
      </w:pPr>
      <w:r>
        <w:rPr>
          <w:kern w:val="36"/>
        </w:rPr>
        <w:t>Elongation O-H : pont hydrogène intermoléculaire 3330 cm</w:t>
      </w:r>
      <w:r>
        <w:rPr>
          <w:kern w:val="36"/>
          <w:vertAlign w:val="superscript"/>
        </w:rPr>
        <w:t>-1</w:t>
      </w:r>
      <w:r>
        <w:rPr>
          <w:kern w:val="36"/>
        </w:rPr>
        <w:t xml:space="preserve">. Elongation C-H.          </w:t>
      </w:r>
      <w:r w:rsidRPr="00213192">
        <w:rPr>
          <w:b/>
          <w:bCs/>
          <w:kern w:val="36"/>
        </w:rPr>
        <w:t>.</w:t>
      </w:r>
      <w:r>
        <w:rPr>
          <w:kern w:val="36"/>
        </w:rPr>
        <w:t xml:space="preserve"> Déformation angulaire C-H. </w:t>
      </w:r>
      <w:r w:rsidRPr="00213192">
        <w:rPr>
          <w:i/>
          <w:iCs/>
          <w:kern w:val="36"/>
        </w:rPr>
        <w:t xml:space="preserve">Notez les deux bandes pour le groupe </w:t>
      </w:r>
      <w:proofErr w:type="spellStart"/>
      <w:r>
        <w:rPr>
          <w:i/>
          <w:iCs/>
          <w:kern w:val="36"/>
        </w:rPr>
        <w:t>tertiobutyle</w:t>
      </w:r>
      <w:proofErr w:type="spellEnd"/>
      <w:r>
        <w:rPr>
          <w:i/>
          <w:iCs/>
          <w:kern w:val="36"/>
        </w:rPr>
        <w:t xml:space="preserve"> à 1394</w:t>
      </w:r>
      <w:r w:rsidRPr="00213192">
        <w:rPr>
          <w:i/>
          <w:iCs/>
          <w:kern w:val="36"/>
        </w:rPr>
        <w:t xml:space="preserve"> et 13</w:t>
      </w:r>
      <w:r>
        <w:rPr>
          <w:i/>
          <w:iCs/>
          <w:kern w:val="36"/>
        </w:rPr>
        <w:t>5</w:t>
      </w:r>
      <w:r w:rsidRPr="00213192">
        <w:rPr>
          <w:i/>
          <w:iCs/>
          <w:kern w:val="36"/>
        </w:rPr>
        <w:t>5 cm</w:t>
      </w:r>
      <w:r w:rsidRPr="00213192">
        <w:rPr>
          <w:i/>
          <w:iCs/>
          <w:kern w:val="36"/>
          <w:vertAlign w:val="superscript"/>
        </w:rPr>
        <w:t>-1</w:t>
      </w:r>
      <w:r w:rsidRPr="00213192">
        <w:rPr>
          <w:i/>
          <w:iCs/>
          <w:kern w:val="36"/>
        </w:rPr>
        <w:t>.</w:t>
      </w:r>
      <w:r>
        <w:rPr>
          <w:kern w:val="36"/>
        </w:rPr>
        <w:t xml:space="preserve"> </w:t>
      </w:r>
      <w:r w:rsidRPr="00213192">
        <w:rPr>
          <w:b/>
          <w:bCs/>
          <w:kern w:val="36"/>
        </w:rPr>
        <w:t>D.</w:t>
      </w:r>
      <w:r>
        <w:rPr>
          <w:kern w:val="36"/>
        </w:rPr>
        <w:t xml:space="preserve"> Elongation C-O, 1040 cm</w:t>
      </w:r>
      <w:r>
        <w:rPr>
          <w:kern w:val="36"/>
          <w:vertAlign w:val="superscript"/>
        </w:rPr>
        <w:t>-1</w:t>
      </w:r>
      <w:r>
        <w:rPr>
          <w:kern w:val="36"/>
        </w:rPr>
        <w:t>.</w:t>
      </w:r>
    </w:p>
    <w:p w:rsidR="00C37EEF" w:rsidRDefault="00C37EEF" w:rsidP="00C37EEF">
      <w:pPr>
        <w:autoSpaceDE w:val="0"/>
        <w:autoSpaceDN w:val="0"/>
        <w:adjustRightInd w:val="0"/>
        <w:spacing w:line="360" w:lineRule="auto"/>
        <w:jc w:val="both"/>
        <w:rPr>
          <w:b/>
          <w:bCs/>
          <w:kern w:val="36"/>
          <w:sz w:val="28"/>
          <w:szCs w:val="28"/>
        </w:rPr>
      </w:pPr>
      <w:r>
        <w:rPr>
          <w:kern w:val="36"/>
        </w:rPr>
        <w:tab/>
      </w:r>
      <w:r>
        <w:rPr>
          <w:b/>
          <w:bCs/>
          <w:kern w:val="36"/>
          <w:sz w:val="28"/>
          <w:szCs w:val="28"/>
        </w:rPr>
        <w:t>II - LES ETHERS ET LES COMPOSES APPARENTES</w:t>
      </w:r>
    </w:p>
    <w:p w:rsidR="00C37EEF" w:rsidRDefault="00C37EEF" w:rsidP="00C37EEF">
      <w:pPr>
        <w:spacing w:before="100" w:beforeAutospacing="1" w:after="100" w:afterAutospacing="1" w:line="360" w:lineRule="auto"/>
        <w:jc w:val="both"/>
        <w:outlineLvl w:val="0"/>
        <w:rPr>
          <w:kern w:val="36"/>
        </w:rPr>
      </w:pPr>
      <w:r>
        <w:rPr>
          <w:kern w:val="36"/>
        </w:rPr>
        <w:tab/>
        <w:t xml:space="preserve">La vibration </w:t>
      </w:r>
      <w:r>
        <w:rPr>
          <w:kern w:val="36"/>
        </w:rPr>
        <w:sym w:font="Symbol" w:char="F06E"/>
      </w:r>
      <w:proofErr w:type="spellStart"/>
      <w:r>
        <w:rPr>
          <w:kern w:val="36"/>
          <w:vertAlign w:val="subscript"/>
        </w:rPr>
        <w:t>a</w:t>
      </w:r>
      <w:r>
        <w:rPr>
          <w:kern w:val="36"/>
        </w:rPr>
        <w:t>C</w:t>
      </w:r>
      <w:proofErr w:type="spellEnd"/>
      <w:r>
        <w:rPr>
          <w:kern w:val="36"/>
        </w:rPr>
        <w:t>-O-C des éthers aliphatiques donne une bande intense entre 1150 et 1080 cm</w:t>
      </w:r>
      <w:r>
        <w:rPr>
          <w:kern w:val="36"/>
          <w:vertAlign w:val="superscript"/>
        </w:rPr>
        <w:t>-1</w:t>
      </w:r>
      <w:r>
        <w:rPr>
          <w:kern w:val="36"/>
        </w:rPr>
        <w:t xml:space="preserve"> (exception oxyde de t-butyle, 1205 cm</w:t>
      </w:r>
      <w:r>
        <w:rPr>
          <w:kern w:val="36"/>
          <w:vertAlign w:val="superscript"/>
        </w:rPr>
        <w:t>-1</w:t>
      </w:r>
      <w:r>
        <w:rPr>
          <w:kern w:val="36"/>
        </w:rPr>
        <w:t>). Cette bande est souvent large et complexe à cause des isomères de rotation. Elle apparaît en général vers 1125 cm</w:t>
      </w:r>
      <w:r>
        <w:rPr>
          <w:kern w:val="36"/>
          <w:vertAlign w:val="superscript"/>
        </w:rPr>
        <w:t>-1</w:t>
      </w:r>
      <w:r>
        <w:rPr>
          <w:kern w:val="36"/>
        </w:rPr>
        <w:t xml:space="preserve">.              </w:t>
      </w:r>
      <w:r>
        <w:rPr>
          <w:kern w:val="36"/>
        </w:rPr>
        <w:lastRenderedPageBreak/>
        <w:t>La bande d’élongation symétrique est en général plus faible et s’observe fréquemment dans le spectre Raman entre 1000 et 700 cm</w:t>
      </w:r>
      <w:r>
        <w:rPr>
          <w:kern w:val="36"/>
          <w:vertAlign w:val="superscript"/>
        </w:rPr>
        <w:t>-1</w:t>
      </w:r>
      <w:r>
        <w:rPr>
          <w:kern w:val="36"/>
        </w:rPr>
        <w:t>.</w:t>
      </w:r>
    </w:p>
    <w:p w:rsidR="00C37EEF" w:rsidRDefault="00C37EEF" w:rsidP="00C37EEF">
      <w:pPr>
        <w:spacing w:before="100" w:beforeAutospacing="1" w:after="100" w:afterAutospacing="1" w:line="360" w:lineRule="auto"/>
        <w:jc w:val="both"/>
        <w:outlineLvl w:val="0"/>
        <w:rPr>
          <w:kern w:val="36"/>
        </w:rPr>
      </w:pPr>
      <w:r>
        <w:rPr>
          <w:kern w:val="36"/>
        </w:rPr>
        <w:tab/>
        <w:t>Dans le cas des éthers halogénés, les polyéthers et les éthers cycliques non tendus (</w:t>
      </w:r>
      <w:proofErr w:type="spellStart"/>
      <w:r>
        <w:rPr>
          <w:kern w:val="36"/>
        </w:rPr>
        <w:t>tétrahydrofuranne</w:t>
      </w:r>
      <w:proofErr w:type="spellEnd"/>
      <w:r>
        <w:rPr>
          <w:kern w:val="36"/>
        </w:rPr>
        <w:t xml:space="preserve">, </w:t>
      </w:r>
      <w:proofErr w:type="spellStart"/>
      <w:r>
        <w:rPr>
          <w:kern w:val="36"/>
        </w:rPr>
        <w:t>dioxanne</w:t>
      </w:r>
      <w:proofErr w:type="spellEnd"/>
      <w:r>
        <w:rPr>
          <w:kern w:val="36"/>
        </w:rPr>
        <w:t xml:space="preserve">,…) la vibration </w:t>
      </w:r>
      <w:r>
        <w:rPr>
          <w:kern w:val="36"/>
        </w:rPr>
        <w:sym w:font="Symbol" w:char="F06E"/>
      </w:r>
      <w:proofErr w:type="spellStart"/>
      <w:r>
        <w:rPr>
          <w:kern w:val="36"/>
          <w:vertAlign w:val="subscript"/>
        </w:rPr>
        <w:t>a</w:t>
      </w:r>
      <w:r>
        <w:rPr>
          <w:kern w:val="36"/>
        </w:rPr>
        <w:t>C</w:t>
      </w:r>
      <w:proofErr w:type="spellEnd"/>
      <w:r>
        <w:rPr>
          <w:kern w:val="36"/>
        </w:rPr>
        <w:t>-O-C absorbe à peu près dans la même zone (1150-1070 cm</w:t>
      </w:r>
      <w:r>
        <w:rPr>
          <w:kern w:val="36"/>
          <w:vertAlign w:val="superscript"/>
        </w:rPr>
        <w:t>-1</w:t>
      </w:r>
      <w:r>
        <w:rPr>
          <w:kern w:val="36"/>
        </w:rPr>
        <w:t xml:space="preserve">). Plus la taille diminue et plus la fréquence de cette </w:t>
      </w:r>
      <w:proofErr w:type="gramStart"/>
      <w:r>
        <w:rPr>
          <w:kern w:val="36"/>
        </w:rPr>
        <w:t>vibration diminue</w:t>
      </w:r>
      <w:proofErr w:type="gramEnd"/>
      <w:r>
        <w:rPr>
          <w:kern w:val="36"/>
        </w:rPr>
        <w:t>, alors que la fréquence de la vibration d’élongation symétrique de ce vibrateur augmente.</w:t>
      </w:r>
    </w:p>
    <w:p w:rsidR="00C37EEF" w:rsidRDefault="00C37EEF" w:rsidP="00C37EEF">
      <w:pPr>
        <w:spacing w:before="100" w:beforeAutospacing="1" w:after="100" w:afterAutospacing="1" w:line="360" w:lineRule="auto"/>
        <w:jc w:val="both"/>
        <w:outlineLvl w:val="0"/>
        <w:rPr>
          <w:kern w:val="36"/>
        </w:rPr>
      </w:pPr>
      <w:r>
        <w:rPr>
          <w:kern w:val="36"/>
        </w:rPr>
        <w:tab/>
        <w:t>Les spectres des aryles alkyles éthers présentent une bande d’élongation asymétrique de 1275 à 1200 cm</w:t>
      </w:r>
      <w:r>
        <w:rPr>
          <w:kern w:val="36"/>
          <w:vertAlign w:val="superscript"/>
        </w:rPr>
        <w:t>-1</w:t>
      </w:r>
      <w:r>
        <w:rPr>
          <w:kern w:val="36"/>
        </w:rPr>
        <w:t xml:space="preserve"> avec une élongation symétrique proche de 1075 à 1020 cm</w:t>
      </w:r>
      <w:r>
        <w:rPr>
          <w:kern w:val="36"/>
          <w:vertAlign w:val="superscript"/>
        </w:rPr>
        <w:t>-1</w:t>
      </w:r>
      <w:r>
        <w:rPr>
          <w:kern w:val="36"/>
        </w:rPr>
        <w:t>. Une forte absorption due à l’élongation asymétrique du groupe C-O-C dans les éthers vinyliques apparaît entre 1225 et 1200 cm</w:t>
      </w:r>
      <w:r>
        <w:rPr>
          <w:kern w:val="36"/>
          <w:vertAlign w:val="superscript"/>
        </w:rPr>
        <w:t>-1</w:t>
      </w:r>
      <w:r>
        <w:rPr>
          <w:kern w:val="36"/>
        </w:rPr>
        <w:t xml:space="preserve"> avec une forte bande de 1075 à 1020 cm</w:t>
      </w:r>
      <w:r>
        <w:rPr>
          <w:kern w:val="36"/>
          <w:vertAlign w:val="superscript"/>
        </w:rPr>
        <w:t>-1</w:t>
      </w:r>
      <w:r>
        <w:rPr>
          <w:kern w:val="36"/>
        </w:rPr>
        <w:t xml:space="preserve"> rattachée à l’élongation symétrique de ce vibrateur.</w:t>
      </w:r>
    </w:p>
    <w:p w:rsidR="00C37EEF" w:rsidRDefault="00C37EEF" w:rsidP="00C37EEF">
      <w:pPr>
        <w:spacing w:before="100" w:beforeAutospacing="1" w:after="100" w:afterAutospacing="1" w:line="360" w:lineRule="auto"/>
        <w:jc w:val="center"/>
        <w:outlineLvl w:val="0"/>
        <w:rPr>
          <w:kern w:val="36"/>
        </w:rPr>
      </w:pPr>
      <w:r>
        <w:rPr>
          <w:noProof/>
          <w:kern w:val="36"/>
        </w:rPr>
        <w:drawing>
          <wp:inline distT="0" distB="0" distL="0" distR="0">
            <wp:extent cx="5762625" cy="2838450"/>
            <wp:effectExtent l="19050" t="0" r="9525" b="0"/>
            <wp:docPr id="501" name="Image 5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1"/>
                    <pic:cNvPicPr>
                      <a:picLocks noChangeAspect="1" noChangeArrowheads="1"/>
                    </pic:cNvPicPr>
                  </pic:nvPicPr>
                  <pic:blipFill>
                    <a:blip r:embed="rId54" cstate="print"/>
                    <a:srcRect/>
                    <a:stretch>
                      <a:fillRect/>
                    </a:stretch>
                  </pic:blipFill>
                  <pic:spPr bwMode="auto">
                    <a:xfrm>
                      <a:off x="0" y="0"/>
                      <a:ext cx="5762625" cy="2838450"/>
                    </a:xfrm>
                    <a:prstGeom prst="rect">
                      <a:avLst/>
                    </a:prstGeom>
                    <a:noFill/>
                    <a:ln w="9525">
                      <a:noFill/>
                      <a:miter lim="800000"/>
                      <a:headEnd/>
                      <a:tailEnd/>
                    </a:ln>
                  </pic:spPr>
                </pic:pic>
              </a:graphicData>
            </a:graphic>
          </wp:inline>
        </w:drawing>
      </w:r>
    </w:p>
    <w:p w:rsidR="00C37EEF" w:rsidRDefault="00C37EEF" w:rsidP="00C37EEF">
      <w:pPr>
        <w:spacing w:before="100" w:beforeAutospacing="1" w:after="100" w:afterAutospacing="1" w:line="360" w:lineRule="auto"/>
        <w:jc w:val="center"/>
        <w:outlineLvl w:val="0"/>
        <w:rPr>
          <w:kern w:val="36"/>
        </w:rPr>
      </w:pPr>
      <w:r>
        <w:rPr>
          <w:kern w:val="36"/>
        </w:rPr>
        <w:t>Figure 5 : Spectre IR de l’</w:t>
      </w:r>
      <w:proofErr w:type="spellStart"/>
      <w:r>
        <w:rPr>
          <w:kern w:val="36"/>
        </w:rPr>
        <w:t>anisole</w:t>
      </w:r>
      <w:proofErr w:type="spellEnd"/>
      <w:r>
        <w:rPr>
          <w:kern w:val="36"/>
        </w:rPr>
        <w:t>.</w:t>
      </w:r>
    </w:p>
    <w:p w:rsidR="00C37EEF" w:rsidRPr="00CD4ED7" w:rsidRDefault="00C37EEF" w:rsidP="00C37EEF">
      <w:pPr>
        <w:spacing w:before="100" w:beforeAutospacing="1" w:after="100" w:afterAutospacing="1" w:line="360" w:lineRule="auto"/>
        <w:jc w:val="both"/>
        <w:outlineLvl w:val="0"/>
        <w:rPr>
          <w:kern w:val="36"/>
        </w:rPr>
      </w:pPr>
      <w:r w:rsidRPr="00822F5D">
        <w:rPr>
          <w:b/>
          <w:bCs/>
          <w:kern w:val="36"/>
        </w:rPr>
        <w:t>A.</w:t>
      </w:r>
      <w:r>
        <w:rPr>
          <w:kern w:val="36"/>
        </w:rPr>
        <w:t xml:space="preserve"> Elongation C-H aromatique, 3063, 3033 et 3003 cm</w:t>
      </w:r>
      <w:r>
        <w:rPr>
          <w:kern w:val="36"/>
          <w:vertAlign w:val="superscript"/>
        </w:rPr>
        <w:t>-1</w:t>
      </w:r>
      <w:r>
        <w:rPr>
          <w:kern w:val="36"/>
        </w:rPr>
        <w:t xml:space="preserve">. </w:t>
      </w:r>
      <w:r w:rsidRPr="00822F5D">
        <w:rPr>
          <w:b/>
          <w:bCs/>
          <w:kern w:val="36"/>
        </w:rPr>
        <w:t>B.</w:t>
      </w:r>
      <w:r>
        <w:rPr>
          <w:kern w:val="36"/>
        </w:rPr>
        <w:t xml:space="preserve"> Elongation C-H du méthyle, 2957 et 2838 cm</w:t>
      </w:r>
      <w:r>
        <w:rPr>
          <w:kern w:val="36"/>
          <w:vertAlign w:val="superscript"/>
        </w:rPr>
        <w:t>-</w:t>
      </w:r>
      <w:smartTag w:uri="urn:schemas-microsoft-com:office:smarttags" w:element="metricconverter">
        <w:smartTagPr>
          <w:attr w:name="ProductID" w:val="1. C"/>
        </w:smartTagPr>
        <w:r>
          <w:rPr>
            <w:kern w:val="36"/>
            <w:vertAlign w:val="superscript"/>
          </w:rPr>
          <w:t>1</w:t>
        </w:r>
        <w:r>
          <w:rPr>
            <w:kern w:val="36"/>
          </w:rPr>
          <w:t xml:space="preserve">. </w:t>
        </w:r>
        <w:r w:rsidRPr="00822F5D">
          <w:rPr>
            <w:b/>
            <w:bCs/>
            <w:kern w:val="36"/>
          </w:rPr>
          <w:t>C</w:t>
        </w:r>
      </w:smartTag>
      <w:r w:rsidRPr="00822F5D">
        <w:rPr>
          <w:b/>
          <w:bCs/>
          <w:kern w:val="36"/>
        </w:rPr>
        <w:t>.</w:t>
      </w:r>
      <w:r>
        <w:rPr>
          <w:kern w:val="36"/>
        </w:rPr>
        <w:t xml:space="preserve"> Région des harmoniques  et des bandes de combinaison,  2000-1650 cm</w:t>
      </w:r>
      <w:r>
        <w:rPr>
          <w:kern w:val="36"/>
          <w:vertAlign w:val="superscript"/>
        </w:rPr>
        <w:t>-1</w:t>
      </w:r>
      <w:r>
        <w:rPr>
          <w:kern w:val="36"/>
        </w:rPr>
        <w:t xml:space="preserve">. </w:t>
      </w:r>
      <w:r w:rsidRPr="00822F5D">
        <w:rPr>
          <w:b/>
          <w:bCs/>
          <w:kern w:val="36"/>
        </w:rPr>
        <w:t>D.</w:t>
      </w:r>
      <w:r>
        <w:rPr>
          <w:kern w:val="36"/>
        </w:rPr>
        <w:t xml:space="preserve"> Elongation C=C du cycle, 1600 et 1498 cm</w:t>
      </w:r>
      <w:r>
        <w:rPr>
          <w:kern w:val="36"/>
          <w:vertAlign w:val="superscript"/>
        </w:rPr>
        <w:t>-1</w:t>
      </w:r>
      <w:r>
        <w:rPr>
          <w:kern w:val="36"/>
        </w:rPr>
        <w:t xml:space="preserve">. </w:t>
      </w:r>
      <w:r w:rsidRPr="00822F5D">
        <w:rPr>
          <w:b/>
          <w:bCs/>
          <w:kern w:val="36"/>
        </w:rPr>
        <w:t>E.</w:t>
      </w:r>
      <w:r>
        <w:rPr>
          <w:kern w:val="36"/>
        </w:rPr>
        <w:t xml:space="preserve"> Elongation C-O-C asymétrique, 1248 cm</w:t>
      </w:r>
      <w:r>
        <w:rPr>
          <w:kern w:val="36"/>
          <w:vertAlign w:val="superscript"/>
        </w:rPr>
        <w:t>-</w:t>
      </w:r>
      <w:smartTag w:uri="urn:schemas-microsoft-com:office:smarttags" w:element="metricconverter">
        <w:smartTagPr>
          <w:attr w:name="ProductID" w:val="1. F"/>
        </w:smartTagPr>
        <w:r>
          <w:rPr>
            <w:kern w:val="36"/>
            <w:vertAlign w:val="superscript"/>
          </w:rPr>
          <w:t>1</w:t>
        </w:r>
        <w:r>
          <w:rPr>
            <w:kern w:val="36"/>
          </w:rPr>
          <w:t xml:space="preserve">. </w:t>
        </w:r>
        <w:r w:rsidRPr="00822F5D">
          <w:rPr>
            <w:b/>
            <w:bCs/>
            <w:kern w:val="36"/>
          </w:rPr>
          <w:t>F</w:t>
        </w:r>
      </w:smartTag>
      <w:r w:rsidRPr="00822F5D">
        <w:rPr>
          <w:b/>
          <w:bCs/>
          <w:kern w:val="36"/>
        </w:rPr>
        <w:t>.</w:t>
      </w:r>
      <w:r>
        <w:rPr>
          <w:kern w:val="36"/>
        </w:rPr>
        <w:t xml:space="preserve"> Elongation C-O-C symétrique, 1041 cm</w:t>
      </w:r>
      <w:r>
        <w:rPr>
          <w:kern w:val="36"/>
          <w:vertAlign w:val="superscript"/>
        </w:rPr>
        <w:t>-</w:t>
      </w:r>
      <w:smartTag w:uri="urn:schemas-microsoft-com:office:smarttags" w:element="metricconverter">
        <w:smartTagPr>
          <w:attr w:name="ProductID" w:val="1. G"/>
        </w:smartTagPr>
        <w:r>
          <w:rPr>
            <w:kern w:val="36"/>
            <w:vertAlign w:val="superscript"/>
          </w:rPr>
          <w:t>1</w:t>
        </w:r>
        <w:r>
          <w:rPr>
            <w:kern w:val="36"/>
          </w:rPr>
          <w:t xml:space="preserve">. </w:t>
        </w:r>
        <w:r w:rsidRPr="00822F5D">
          <w:rPr>
            <w:b/>
            <w:bCs/>
            <w:kern w:val="36"/>
          </w:rPr>
          <w:t>G</w:t>
        </w:r>
      </w:smartTag>
      <w:r w:rsidRPr="00822F5D">
        <w:rPr>
          <w:b/>
          <w:bCs/>
          <w:kern w:val="36"/>
        </w:rPr>
        <w:t>.</w:t>
      </w:r>
      <w:r>
        <w:rPr>
          <w:kern w:val="36"/>
        </w:rPr>
        <w:t xml:space="preserve"> Déformation angulaire C-H hors du plan, 784 et 754 cm</w:t>
      </w:r>
      <w:r>
        <w:rPr>
          <w:kern w:val="36"/>
          <w:vertAlign w:val="superscript"/>
        </w:rPr>
        <w:t>-1</w:t>
      </w:r>
      <w:r>
        <w:rPr>
          <w:kern w:val="36"/>
        </w:rPr>
        <w:t xml:space="preserve">. </w:t>
      </w:r>
      <w:r w:rsidRPr="00822F5D">
        <w:rPr>
          <w:b/>
          <w:bCs/>
          <w:kern w:val="36"/>
        </w:rPr>
        <w:t>H.</w:t>
      </w:r>
      <w:r>
        <w:rPr>
          <w:kern w:val="36"/>
        </w:rPr>
        <w:t xml:space="preserve"> Déformation angulaire C=C du cycle hors du plan, 692 cm</w:t>
      </w:r>
      <w:r>
        <w:rPr>
          <w:kern w:val="36"/>
          <w:vertAlign w:val="superscript"/>
        </w:rPr>
        <w:t>-1</w:t>
      </w:r>
      <w:r>
        <w:rPr>
          <w:kern w:val="36"/>
        </w:rPr>
        <w:t>.</w:t>
      </w:r>
    </w:p>
    <w:p w:rsidR="00C37EEF" w:rsidRDefault="00C37EEF" w:rsidP="00C37EEF">
      <w:pPr>
        <w:spacing w:before="100" w:beforeAutospacing="1" w:after="100" w:afterAutospacing="1" w:line="360" w:lineRule="auto"/>
        <w:jc w:val="both"/>
        <w:outlineLvl w:val="0"/>
        <w:rPr>
          <w:b/>
          <w:bCs/>
          <w:kern w:val="36"/>
          <w:sz w:val="28"/>
          <w:szCs w:val="28"/>
        </w:rPr>
      </w:pPr>
    </w:p>
    <w:p w:rsidR="00C37EEF" w:rsidRDefault="00C37EEF" w:rsidP="00C37EEF">
      <w:pPr>
        <w:spacing w:before="100" w:beforeAutospacing="1" w:after="100" w:afterAutospacing="1" w:line="360" w:lineRule="auto"/>
        <w:jc w:val="both"/>
        <w:outlineLvl w:val="0"/>
        <w:rPr>
          <w:b/>
          <w:bCs/>
          <w:kern w:val="36"/>
          <w:sz w:val="28"/>
          <w:szCs w:val="28"/>
        </w:rPr>
      </w:pPr>
      <w:r w:rsidRPr="00F74D49">
        <w:rPr>
          <w:b/>
          <w:bCs/>
          <w:kern w:val="36"/>
          <w:sz w:val="28"/>
          <w:szCs w:val="28"/>
        </w:rPr>
        <w:lastRenderedPageBreak/>
        <w:t>I</w:t>
      </w:r>
      <w:r>
        <w:rPr>
          <w:b/>
          <w:bCs/>
          <w:kern w:val="36"/>
          <w:sz w:val="28"/>
          <w:szCs w:val="28"/>
        </w:rPr>
        <w:t>II</w:t>
      </w:r>
      <w:r w:rsidRPr="00F74D49">
        <w:rPr>
          <w:b/>
          <w:bCs/>
          <w:kern w:val="36"/>
          <w:sz w:val="28"/>
          <w:szCs w:val="28"/>
        </w:rPr>
        <w:t xml:space="preserve"> – </w:t>
      </w:r>
      <w:r>
        <w:rPr>
          <w:b/>
          <w:bCs/>
          <w:kern w:val="36"/>
          <w:sz w:val="28"/>
          <w:szCs w:val="28"/>
        </w:rPr>
        <w:t>LES CETONES</w:t>
      </w:r>
    </w:p>
    <w:p w:rsidR="00C37EEF" w:rsidRPr="00377B06" w:rsidRDefault="00C37EEF" w:rsidP="00C37EEF">
      <w:pPr>
        <w:spacing w:before="100" w:beforeAutospacing="1" w:after="100" w:afterAutospacing="1" w:line="360" w:lineRule="auto"/>
        <w:jc w:val="both"/>
        <w:outlineLvl w:val="0"/>
        <w:rPr>
          <w:b/>
          <w:bCs/>
          <w:kern w:val="36"/>
          <w:sz w:val="28"/>
          <w:szCs w:val="28"/>
        </w:rPr>
      </w:pPr>
      <w:r w:rsidRPr="00377B06">
        <w:rPr>
          <w:b/>
          <w:bCs/>
          <w:kern w:val="36"/>
          <w:sz w:val="28"/>
          <w:szCs w:val="28"/>
        </w:rPr>
        <w:t xml:space="preserve">III – 1 – Vibration de valence </w:t>
      </w:r>
      <w:r w:rsidRPr="00377B06">
        <w:rPr>
          <w:b/>
          <w:bCs/>
          <w:kern w:val="36"/>
          <w:sz w:val="28"/>
          <w:szCs w:val="28"/>
        </w:rPr>
        <w:sym w:font="Symbol" w:char="F06E"/>
      </w:r>
      <w:r w:rsidRPr="00377B06">
        <w:rPr>
          <w:b/>
          <w:bCs/>
          <w:kern w:val="36"/>
          <w:sz w:val="28"/>
          <w:szCs w:val="28"/>
        </w:rPr>
        <w:t>C=O</w:t>
      </w:r>
    </w:p>
    <w:p w:rsidR="00C37EEF" w:rsidRDefault="00C37EEF" w:rsidP="00C37EEF">
      <w:pPr>
        <w:spacing w:before="100" w:beforeAutospacing="1" w:after="100" w:afterAutospacing="1" w:line="360" w:lineRule="auto"/>
        <w:jc w:val="both"/>
        <w:outlineLvl w:val="0"/>
        <w:rPr>
          <w:kern w:val="36"/>
        </w:rPr>
      </w:pPr>
      <w:r>
        <w:rPr>
          <w:kern w:val="36"/>
        </w:rPr>
        <w:tab/>
        <w:t>Le groupement C=O se rencontre dans plusieurs fonctions organiques importantes :</w:t>
      </w:r>
      <w:r w:rsidRPr="008130A6">
        <w:rPr>
          <w:rFonts w:ascii="Arial" w:hAnsi="Arial" w:cs="Arial"/>
          <w:color w:val="000000"/>
          <w:sz w:val="22"/>
          <w:szCs w:val="22"/>
        </w:rPr>
        <w:t xml:space="preserve"> </w:t>
      </w:r>
      <w:r>
        <w:rPr>
          <w:color w:val="000000"/>
        </w:rPr>
        <w:t>l</w:t>
      </w:r>
      <w:r w:rsidRPr="008130A6">
        <w:rPr>
          <w:color w:val="000000"/>
        </w:rPr>
        <w:t>es cétones, aldéhydes, acides carboxyliques, esters, lactones, halogénures d'acide, anhydrides</w:t>
      </w:r>
      <w:r>
        <w:rPr>
          <w:color w:val="000000"/>
        </w:rPr>
        <w:t>.</w:t>
      </w:r>
      <w:r w:rsidRPr="008130A6">
        <w:rPr>
          <w:kern w:val="36"/>
        </w:rPr>
        <w:t xml:space="preserve"> </w:t>
      </w:r>
      <w:r w:rsidRPr="001C2892">
        <w:rPr>
          <w:color w:val="000000"/>
        </w:rPr>
        <w:t>La forte polarité de la liaison C=O la rend très</w:t>
      </w:r>
      <w:r>
        <w:rPr>
          <w:color w:val="000000"/>
        </w:rPr>
        <w:t xml:space="preserve"> </w:t>
      </w:r>
      <w:r w:rsidRPr="001C2892">
        <w:rPr>
          <w:color w:val="000000"/>
        </w:rPr>
        <w:t xml:space="preserve">intense et donc très reconnaissable. </w:t>
      </w:r>
      <w:r>
        <w:rPr>
          <w:color w:val="000000"/>
        </w:rPr>
        <w:t>La bande d’absorption correspondante apparaît entre</w:t>
      </w:r>
      <w:r w:rsidRPr="008130A6">
        <w:rPr>
          <w:color w:val="000000"/>
        </w:rPr>
        <w:t xml:space="preserve"> 1850 et 1650 cm</w:t>
      </w:r>
      <w:r w:rsidRPr="008130A6">
        <w:rPr>
          <w:color w:val="000000"/>
          <w:vertAlign w:val="superscript"/>
        </w:rPr>
        <w:t>-1</w:t>
      </w:r>
      <w:r w:rsidRPr="008130A6">
        <w:rPr>
          <w:kern w:val="36"/>
        </w:rPr>
        <w:t xml:space="preserve">. </w:t>
      </w:r>
    </w:p>
    <w:p w:rsidR="00C37EEF" w:rsidRDefault="00C37EEF" w:rsidP="00C37EEF">
      <w:pPr>
        <w:autoSpaceDE w:val="0"/>
        <w:autoSpaceDN w:val="0"/>
        <w:adjustRightInd w:val="0"/>
        <w:spacing w:line="360" w:lineRule="auto"/>
        <w:jc w:val="both"/>
        <w:rPr>
          <w:color w:val="000000"/>
        </w:rPr>
      </w:pPr>
      <w:r>
        <w:rPr>
          <w:color w:val="000000"/>
        </w:rPr>
        <w:tab/>
      </w:r>
      <w:r w:rsidRPr="00DC6926">
        <w:rPr>
          <w:color w:val="000000"/>
        </w:rPr>
        <w:t>L’attribution exacte de la bande ne peut se faire à partir de la seule valeur de la fréquence qui ne constitue qu’un indice. C’est l’examen des autres bandes associées à la fonction qui permet l’identification (</w:t>
      </w:r>
      <w:r w:rsidRPr="00DC6926">
        <w:rPr>
          <w:color w:val="000000"/>
        </w:rPr>
        <w:sym w:font="Symbol" w:char="F06E"/>
      </w:r>
      <w:r w:rsidRPr="00DC6926">
        <w:rPr>
          <w:color w:val="000000"/>
        </w:rPr>
        <w:t xml:space="preserve">CH pour un aldéhyde, </w:t>
      </w:r>
      <w:r w:rsidRPr="00DC6926">
        <w:rPr>
          <w:color w:val="000000"/>
        </w:rPr>
        <w:sym w:font="Symbol" w:char="F06E"/>
      </w:r>
      <w:r w:rsidRPr="00DC6926">
        <w:rPr>
          <w:color w:val="000000"/>
        </w:rPr>
        <w:t xml:space="preserve">OH pour un acide, </w:t>
      </w:r>
      <w:r w:rsidRPr="00DC6926">
        <w:rPr>
          <w:color w:val="000000"/>
        </w:rPr>
        <w:sym w:font="Symbol" w:char="F06E"/>
      </w:r>
      <w:r w:rsidRPr="00DC6926">
        <w:rPr>
          <w:color w:val="000000"/>
        </w:rPr>
        <w:t xml:space="preserve">C-O pour un ester, </w:t>
      </w:r>
      <w:proofErr w:type="spellStart"/>
      <w:r w:rsidRPr="00DC6926">
        <w:rPr>
          <w:color w:val="000000"/>
        </w:rPr>
        <w:t>etc</w:t>
      </w:r>
      <w:proofErr w:type="spellEnd"/>
      <w:r w:rsidRPr="00DC6926">
        <w:rPr>
          <w:color w:val="000000"/>
        </w:rPr>
        <w:t>...). L’examen de la valeur de la fréquence permet ensuite une étude de l’environnement du</w:t>
      </w:r>
      <w:r>
        <w:rPr>
          <w:color w:val="000000"/>
        </w:rPr>
        <w:t xml:space="preserve"> </w:t>
      </w:r>
      <w:r w:rsidRPr="00DC6926">
        <w:rPr>
          <w:color w:val="000000"/>
        </w:rPr>
        <w:t>C=O</w:t>
      </w:r>
      <w:r>
        <w:rPr>
          <w:color w:val="000000"/>
        </w:rPr>
        <w:t xml:space="preserve">. </w:t>
      </w:r>
      <w:r w:rsidRPr="00151424">
        <w:rPr>
          <w:color w:val="000000"/>
        </w:rPr>
        <w:t>On observe soit un effet de conjugaison, soit un effet inductif</w:t>
      </w:r>
      <w:r>
        <w:rPr>
          <w:color w:val="000000"/>
        </w:rPr>
        <w:t>, soit l’effet de la</w:t>
      </w:r>
      <w:r w:rsidRPr="00151424">
        <w:rPr>
          <w:color w:val="000000"/>
        </w:rPr>
        <w:t xml:space="preserve"> </w:t>
      </w:r>
      <w:r w:rsidRPr="00DC6926">
        <w:rPr>
          <w:color w:val="000000"/>
        </w:rPr>
        <w:t xml:space="preserve">liaison hydrogène, </w:t>
      </w:r>
      <w:r>
        <w:rPr>
          <w:color w:val="000000"/>
        </w:rPr>
        <w:t>soit l’effet de la tension du</w:t>
      </w:r>
      <w:r w:rsidRPr="00DC6926">
        <w:rPr>
          <w:color w:val="000000"/>
        </w:rPr>
        <w:t xml:space="preserve"> cycle</w:t>
      </w:r>
      <w:r w:rsidRPr="00151424">
        <w:rPr>
          <w:color w:val="000000"/>
        </w:rPr>
        <w:t xml:space="preserve">. </w:t>
      </w:r>
    </w:p>
    <w:p w:rsidR="00C37EEF" w:rsidRDefault="00C37EEF" w:rsidP="00C37EEF">
      <w:pPr>
        <w:autoSpaceDE w:val="0"/>
        <w:autoSpaceDN w:val="0"/>
        <w:adjustRightInd w:val="0"/>
        <w:spacing w:before="240" w:after="240" w:line="360" w:lineRule="auto"/>
        <w:jc w:val="both"/>
        <w:rPr>
          <w:color w:val="000000"/>
        </w:rPr>
      </w:pPr>
      <w:r>
        <w:rPr>
          <w:color w:val="000000"/>
        </w:rPr>
        <w:tab/>
      </w:r>
      <w:r w:rsidRPr="00151424">
        <w:rPr>
          <w:color w:val="000000"/>
        </w:rPr>
        <w:t>Les groupements électronégatifs augmentent la fréquence du &gt;C=O.</w:t>
      </w:r>
      <w:r>
        <w:rPr>
          <w:color w:val="000000"/>
        </w:rPr>
        <w:t xml:space="preserve"> </w:t>
      </w:r>
      <w:r w:rsidRPr="00E95C9A">
        <w:rPr>
          <w:color w:val="000000"/>
        </w:rPr>
        <w:t>Ainsi, par rapport à la valeur "normale" de la fréquence du &gt;C=O aux alentours de 1710 cm</w:t>
      </w:r>
      <w:r w:rsidRPr="00E95C9A">
        <w:rPr>
          <w:color w:val="000000"/>
          <w:vertAlign w:val="superscript"/>
        </w:rPr>
        <w:t>-1</w:t>
      </w:r>
      <w:r w:rsidRPr="00E95C9A">
        <w:rPr>
          <w:color w:val="000000"/>
        </w:rPr>
        <w:t>, une substitution du carbonyle par un groupe ayant un effet inductif attracteur d'électrons (-OR ou -Cl) entraîne une augmentation de la fréquence</w:t>
      </w:r>
      <w:r>
        <w:rPr>
          <w:color w:val="000000"/>
        </w:rPr>
        <w:t>.</w:t>
      </w:r>
      <w:r w:rsidRPr="00E95C9A">
        <w:rPr>
          <w:rFonts w:ascii="Arial" w:hAnsi="Arial" w:cs="Arial"/>
          <w:color w:val="000000"/>
          <w:sz w:val="22"/>
          <w:szCs w:val="22"/>
        </w:rPr>
        <w:t xml:space="preserve"> </w:t>
      </w:r>
      <w:r w:rsidRPr="00E95C9A">
        <w:rPr>
          <w:color w:val="000000"/>
        </w:rPr>
        <w:t>Bien que ces groupements soient porteurs de doublets libres, c'est l'effet inductif qui l'emporte</w:t>
      </w:r>
      <w:r>
        <w:rPr>
          <w:color w:val="000000"/>
        </w:rPr>
        <w:t>.</w:t>
      </w:r>
    </w:p>
    <w:p w:rsidR="00C37EEF" w:rsidRPr="001D0F6B" w:rsidRDefault="00C37EEF" w:rsidP="00C37EEF">
      <w:pPr>
        <w:autoSpaceDE w:val="0"/>
        <w:autoSpaceDN w:val="0"/>
        <w:adjustRightInd w:val="0"/>
        <w:spacing w:before="240" w:after="240" w:line="360" w:lineRule="auto"/>
        <w:jc w:val="both"/>
        <w:rPr>
          <w:color w:val="000000"/>
        </w:rPr>
      </w:pPr>
      <w:r>
        <w:rPr>
          <w:color w:val="000000"/>
        </w:rPr>
        <w:tab/>
      </w:r>
      <w:r w:rsidRPr="001D0F6B">
        <w:rPr>
          <w:color w:val="000000"/>
        </w:rPr>
        <w:t>Par contre, dans le cas d'une substitution par un atome d'azote, on observe u</w:t>
      </w:r>
      <w:r>
        <w:rPr>
          <w:color w:val="000000"/>
        </w:rPr>
        <w:t>n effet de conjugaison. Cette dernière provoque la d</w:t>
      </w:r>
      <w:r w:rsidRPr="008065AE">
        <w:rPr>
          <w:color w:val="000000"/>
        </w:rPr>
        <w:t xml:space="preserve">iminution du caractère </w:t>
      </w:r>
      <w:r>
        <w:rPr>
          <w:noProof/>
          <w:color w:val="000000"/>
        </w:rPr>
        <w:drawing>
          <wp:inline distT="0" distB="0" distL="0" distR="0">
            <wp:extent cx="95250" cy="85725"/>
            <wp:effectExtent l="19050" t="0" r="0" b="0"/>
            <wp:docPr id="502" name="Image 502" descr="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2" descr="pi"/>
                    <pic:cNvPicPr>
                      <a:picLocks noChangeAspect="1" noChangeArrowheads="1"/>
                    </pic:cNvPicPr>
                  </pic:nvPicPr>
                  <pic:blipFill>
                    <a:blip r:embed="rId55" cstate="print"/>
                    <a:srcRect/>
                    <a:stretch>
                      <a:fillRect/>
                    </a:stretch>
                  </pic:blipFill>
                  <pic:spPr bwMode="auto">
                    <a:xfrm>
                      <a:off x="0" y="0"/>
                      <a:ext cx="95250" cy="85725"/>
                    </a:xfrm>
                    <a:prstGeom prst="rect">
                      <a:avLst/>
                    </a:prstGeom>
                    <a:noFill/>
                    <a:ln w="9525">
                      <a:noFill/>
                      <a:miter lim="800000"/>
                      <a:headEnd/>
                      <a:tailEnd/>
                    </a:ln>
                  </pic:spPr>
                </pic:pic>
              </a:graphicData>
            </a:graphic>
          </wp:inline>
        </w:drawing>
      </w:r>
      <w:r>
        <w:rPr>
          <w:color w:val="000000"/>
        </w:rPr>
        <w:t xml:space="preserve"> du &gt;C=O par conséquent une </w:t>
      </w:r>
      <w:r w:rsidRPr="008065AE">
        <w:rPr>
          <w:color w:val="000000"/>
        </w:rPr>
        <w:t>diminution de la co</w:t>
      </w:r>
      <w:r>
        <w:rPr>
          <w:color w:val="000000"/>
        </w:rPr>
        <w:t xml:space="preserve">nstante de force de la liaison ce qui entraîne la </w:t>
      </w:r>
      <w:r w:rsidRPr="008065AE">
        <w:rPr>
          <w:color w:val="000000"/>
        </w:rPr>
        <w:t>diminution de la fréquence</w:t>
      </w:r>
      <w:r>
        <w:rPr>
          <w:color w:val="000000"/>
        </w:rPr>
        <w:t>.</w:t>
      </w:r>
    </w:p>
    <w:p w:rsidR="00C37EEF" w:rsidRDefault="00C37EEF" w:rsidP="00C37EEF">
      <w:pPr>
        <w:autoSpaceDE w:val="0"/>
        <w:autoSpaceDN w:val="0"/>
        <w:adjustRightInd w:val="0"/>
        <w:spacing w:line="360" w:lineRule="auto"/>
        <w:jc w:val="both"/>
        <w:rPr>
          <w:color w:val="000000"/>
        </w:rPr>
      </w:pPr>
      <w:r>
        <w:rPr>
          <w:color w:val="000000"/>
        </w:rPr>
        <w:tab/>
        <w:t xml:space="preserve">De même, la conjugaison du carbonyle avec un groupe alcène ou phényle entraîne le déplacement de </w:t>
      </w:r>
      <w:r>
        <w:rPr>
          <w:color w:val="000000"/>
        </w:rPr>
        <w:sym w:font="Symbol" w:char="F06E"/>
      </w:r>
      <w:r>
        <w:rPr>
          <w:color w:val="000000"/>
        </w:rPr>
        <w:t>C=O vers les basses fréquences. L’absorption correspondante apparaît entre 1690 et 1660 cm</w:t>
      </w:r>
      <w:r>
        <w:rPr>
          <w:color w:val="000000"/>
          <w:vertAlign w:val="superscript"/>
        </w:rPr>
        <w:t>-1</w:t>
      </w:r>
      <w:r>
        <w:rPr>
          <w:color w:val="000000"/>
        </w:rPr>
        <w:t>. Une conjugaison supplémentaire peut provoquer une réduction de fréquence un peu plus forte. Cet effet de la conjugaison est illustré sur la figure ci-dessous.</w:t>
      </w:r>
    </w:p>
    <w:p w:rsidR="00C37EEF" w:rsidRDefault="00C37EEF" w:rsidP="00C37EEF">
      <w:pPr>
        <w:autoSpaceDE w:val="0"/>
        <w:autoSpaceDN w:val="0"/>
        <w:adjustRightInd w:val="0"/>
        <w:spacing w:line="360" w:lineRule="auto"/>
        <w:jc w:val="center"/>
        <w:rPr>
          <w:color w:val="000000"/>
        </w:rPr>
      </w:pPr>
      <w:r>
        <w:rPr>
          <w:noProof/>
          <w:color w:val="000000"/>
        </w:rPr>
        <w:lastRenderedPageBreak/>
        <w:drawing>
          <wp:inline distT="0" distB="0" distL="0" distR="0">
            <wp:extent cx="5753100" cy="2428875"/>
            <wp:effectExtent l="19050" t="0" r="0" b="0"/>
            <wp:docPr id="503" name="Image 5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3"/>
                    <pic:cNvPicPr>
                      <a:picLocks noChangeAspect="1" noChangeArrowheads="1"/>
                    </pic:cNvPicPr>
                  </pic:nvPicPr>
                  <pic:blipFill>
                    <a:blip r:embed="rId56" cstate="print"/>
                    <a:srcRect/>
                    <a:stretch>
                      <a:fillRect/>
                    </a:stretch>
                  </pic:blipFill>
                  <pic:spPr bwMode="auto">
                    <a:xfrm>
                      <a:off x="0" y="0"/>
                      <a:ext cx="5753100" cy="2428875"/>
                    </a:xfrm>
                    <a:prstGeom prst="rect">
                      <a:avLst/>
                    </a:prstGeom>
                    <a:noFill/>
                    <a:ln w="9525">
                      <a:noFill/>
                      <a:miter lim="800000"/>
                      <a:headEnd/>
                      <a:tailEnd/>
                    </a:ln>
                  </pic:spPr>
                </pic:pic>
              </a:graphicData>
            </a:graphic>
          </wp:inline>
        </w:drawing>
      </w:r>
    </w:p>
    <w:p w:rsidR="00C37EEF" w:rsidRDefault="00C37EEF" w:rsidP="00C37EEF">
      <w:pPr>
        <w:autoSpaceDE w:val="0"/>
        <w:autoSpaceDN w:val="0"/>
        <w:adjustRightInd w:val="0"/>
        <w:spacing w:line="360" w:lineRule="auto"/>
        <w:jc w:val="center"/>
        <w:rPr>
          <w:color w:val="000000"/>
        </w:rPr>
      </w:pPr>
      <w:r>
        <w:rPr>
          <w:color w:val="000000"/>
        </w:rPr>
        <w:t>Figure 7:Spectre infrarouge de l’</w:t>
      </w:r>
      <w:proofErr w:type="spellStart"/>
      <w:r>
        <w:rPr>
          <w:color w:val="000000"/>
        </w:rPr>
        <w:t>acetophénone</w:t>
      </w:r>
      <w:proofErr w:type="spellEnd"/>
    </w:p>
    <w:p w:rsidR="00C37EEF" w:rsidRDefault="00C37EEF" w:rsidP="00C37EEF">
      <w:pPr>
        <w:autoSpaceDE w:val="0"/>
        <w:autoSpaceDN w:val="0"/>
        <w:adjustRightInd w:val="0"/>
        <w:spacing w:line="360" w:lineRule="auto"/>
        <w:jc w:val="center"/>
        <w:rPr>
          <w:color w:val="000000"/>
        </w:rPr>
      </w:pPr>
    </w:p>
    <w:p w:rsidR="00C37EEF" w:rsidRPr="00143540" w:rsidRDefault="00C37EEF" w:rsidP="00C37EEF">
      <w:pPr>
        <w:autoSpaceDE w:val="0"/>
        <w:autoSpaceDN w:val="0"/>
        <w:adjustRightInd w:val="0"/>
        <w:spacing w:line="360" w:lineRule="auto"/>
        <w:jc w:val="both"/>
        <w:rPr>
          <w:color w:val="000000"/>
        </w:rPr>
      </w:pPr>
      <w:r w:rsidRPr="00970473">
        <w:rPr>
          <w:color w:val="000000"/>
        </w:rPr>
        <w:t>L’h</w:t>
      </w:r>
      <w:r>
        <w:rPr>
          <w:color w:val="000000"/>
        </w:rPr>
        <w:t xml:space="preserve">armonique de l’élongation C=O </w:t>
      </w:r>
      <w:r>
        <w:rPr>
          <w:color w:val="000000"/>
        </w:rPr>
        <w:sym w:font="Symbol" w:char="F07E"/>
      </w:r>
      <w:r>
        <w:rPr>
          <w:color w:val="000000"/>
        </w:rPr>
        <w:t>3350 cm</w:t>
      </w:r>
      <w:r>
        <w:rPr>
          <w:color w:val="000000"/>
          <w:vertAlign w:val="superscript"/>
        </w:rPr>
        <w:t>-1 </w:t>
      </w:r>
      <w:r>
        <w:rPr>
          <w:color w:val="000000"/>
        </w:rPr>
        <w:t>; fréquence qui vaut environ le double de celle de l’élongation C=O. L’élongation C=O, 1691 cm</w:t>
      </w:r>
      <w:r>
        <w:rPr>
          <w:color w:val="000000"/>
          <w:vertAlign w:val="superscript"/>
        </w:rPr>
        <w:t>-1</w:t>
      </w:r>
      <w:r>
        <w:rPr>
          <w:color w:val="000000"/>
        </w:rPr>
        <w:t xml:space="preserve">, fréquence inférieure par rapport à celle observée pour le </w:t>
      </w:r>
      <w:proofErr w:type="spellStart"/>
      <w:r>
        <w:rPr>
          <w:color w:val="000000"/>
        </w:rPr>
        <w:t>pentan</w:t>
      </w:r>
      <w:proofErr w:type="spellEnd"/>
      <w:r>
        <w:rPr>
          <w:color w:val="000000"/>
        </w:rPr>
        <w:t xml:space="preserve">-2-one </w:t>
      </w:r>
      <w:r w:rsidRPr="00AD4887">
        <w:t>(figure 8)</w:t>
      </w:r>
      <w:r>
        <w:rPr>
          <w:color w:val="0000FF"/>
        </w:rPr>
        <w:t xml:space="preserve"> </w:t>
      </w:r>
      <w:r>
        <w:rPr>
          <w:color w:val="000000"/>
        </w:rPr>
        <w:t>à cause de la conjugaison avec le groupe phényle.</w:t>
      </w:r>
    </w:p>
    <w:p w:rsidR="00C37EEF" w:rsidRPr="00E95C9A" w:rsidRDefault="00C37EEF" w:rsidP="00C37EEF">
      <w:pPr>
        <w:autoSpaceDE w:val="0"/>
        <w:autoSpaceDN w:val="0"/>
        <w:adjustRightInd w:val="0"/>
        <w:spacing w:line="360" w:lineRule="auto"/>
        <w:jc w:val="both"/>
        <w:rPr>
          <w:color w:val="000000"/>
        </w:rPr>
      </w:pPr>
      <w:r>
        <w:rPr>
          <w:color w:val="000000"/>
        </w:rPr>
        <w:tab/>
      </w:r>
      <w:r w:rsidRPr="00D52E14">
        <w:rPr>
          <w:color w:val="000000"/>
        </w:rPr>
        <w:t xml:space="preserve">Quant aux effets de contrainte stérique, ils s'observent principalement dans les cétones cycliques. Pour les cycles inférieurs à 6 chaînons, </w:t>
      </w:r>
      <w:r w:rsidRPr="00E95C9A">
        <w:rPr>
          <w:color w:val="000000"/>
        </w:rPr>
        <w:t>on observe une diminution de l'angle de 120°. Cette contrainte stérique se manifeste par une augmentation de la fréquence de vibration de l'élongation &gt;C=O :</w:t>
      </w:r>
    </w:p>
    <w:p w:rsidR="00C37EEF" w:rsidRDefault="00C37EEF" w:rsidP="00C37EEF">
      <w:pPr>
        <w:spacing w:after="100" w:afterAutospacing="1"/>
        <w:jc w:val="center"/>
        <w:rPr>
          <w:rFonts w:ascii="Arial" w:hAnsi="Arial" w:cs="Arial"/>
          <w:color w:val="000000"/>
          <w:sz w:val="22"/>
          <w:szCs w:val="22"/>
        </w:rPr>
      </w:pPr>
      <w:r>
        <w:rPr>
          <w:rFonts w:ascii="Arial" w:hAnsi="Arial" w:cs="Arial"/>
          <w:noProof/>
          <w:color w:val="000000"/>
          <w:sz w:val="22"/>
          <w:szCs w:val="22"/>
        </w:rPr>
        <w:drawing>
          <wp:inline distT="0" distB="0" distL="0" distR="0">
            <wp:extent cx="3743325" cy="800100"/>
            <wp:effectExtent l="19050" t="0" r="9525" b="0"/>
            <wp:docPr id="504" name="Image 504" descr="ir_2_10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4" descr="ir_2_10f"/>
                    <pic:cNvPicPr>
                      <a:picLocks noChangeAspect="1" noChangeArrowheads="1"/>
                    </pic:cNvPicPr>
                  </pic:nvPicPr>
                  <pic:blipFill>
                    <a:blip r:embed="rId32" cstate="print"/>
                    <a:srcRect/>
                    <a:stretch>
                      <a:fillRect/>
                    </a:stretch>
                  </pic:blipFill>
                  <pic:spPr bwMode="auto">
                    <a:xfrm>
                      <a:off x="0" y="0"/>
                      <a:ext cx="3743325" cy="800100"/>
                    </a:xfrm>
                    <a:prstGeom prst="rect">
                      <a:avLst/>
                    </a:prstGeom>
                    <a:noFill/>
                    <a:ln w="9525">
                      <a:noFill/>
                      <a:miter lim="800000"/>
                      <a:headEnd/>
                      <a:tailEnd/>
                    </a:ln>
                  </pic:spPr>
                </pic:pic>
              </a:graphicData>
            </a:graphic>
          </wp:inline>
        </w:drawing>
      </w:r>
    </w:p>
    <w:p w:rsidR="00C37EEF" w:rsidRPr="00377B06" w:rsidRDefault="00C37EEF" w:rsidP="00C37EEF">
      <w:pPr>
        <w:spacing w:before="100" w:beforeAutospacing="1" w:after="100" w:afterAutospacing="1"/>
        <w:jc w:val="both"/>
        <w:rPr>
          <w:b/>
          <w:bCs/>
          <w:color w:val="000000"/>
          <w:sz w:val="28"/>
          <w:szCs w:val="28"/>
        </w:rPr>
      </w:pPr>
      <w:r w:rsidRPr="00377B06">
        <w:rPr>
          <w:b/>
          <w:bCs/>
          <w:color w:val="000000"/>
          <w:sz w:val="28"/>
          <w:szCs w:val="28"/>
        </w:rPr>
        <w:t>III – 2 – Les Vibrations de val</w:t>
      </w:r>
      <w:r>
        <w:rPr>
          <w:b/>
          <w:bCs/>
          <w:color w:val="000000"/>
          <w:sz w:val="28"/>
          <w:szCs w:val="28"/>
        </w:rPr>
        <w:t>ence et de déformation</w:t>
      </w:r>
      <w:r w:rsidRPr="00377B06">
        <w:rPr>
          <w:b/>
          <w:bCs/>
          <w:color w:val="000000"/>
          <w:sz w:val="28"/>
          <w:szCs w:val="28"/>
        </w:rPr>
        <w:t xml:space="preserve"> du groupe C-CO-C</w:t>
      </w:r>
    </w:p>
    <w:p w:rsidR="00C37EEF" w:rsidRDefault="00C37EEF" w:rsidP="00C37EEF">
      <w:pPr>
        <w:spacing w:before="100" w:beforeAutospacing="1" w:after="100" w:afterAutospacing="1" w:line="360" w:lineRule="auto"/>
        <w:jc w:val="both"/>
        <w:rPr>
          <w:color w:val="000000"/>
        </w:rPr>
      </w:pPr>
      <w:r>
        <w:rPr>
          <w:color w:val="000000"/>
        </w:rPr>
        <w:tab/>
        <w:t>Les cétones présentent une absorption moyenne entre 1300 et 1100 cm</w:t>
      </w:r>
      <w:r>
        <w:rPr>
          <w:color w:val="000000"/>
          <w:vertAlign w:val="superscript"/>
        </w:rPr>
        <w:t>-1</w:t>
      </w:r>
      <w:r>
        <w:rPr>
          <w:color w:val="000000"/>
        </w:rPr>
        <w:t xml:space="preserve"> due à l’élongation et à la déformation angulaire des vibrateurs C-C-C du groupe C-CO-C. L’absorption peut être composée de plusieurs bandes. Les cétones aliphatiques absorbent entre 1230 et 1100 cm</w:t>
      </w:r>
      <w:r>
        <w:rPr>
          <w:color w:val="000000"/>
          <w:vertAlign w:val="superscript"/>
        </w:rPr>
        <w:t>-1</w:t>
      </w:r>
      <w:r>
        <w:rPr>
          <w:color w:val="000000"/>
        </w:rPr>
        <w:t>. Les cétones aromatiques absorbent  à des fréquences supérieures à 1230 cm</w:t>
      </w:r>
      <w:r>
        <w:rPr>
          <w:color w:val="000000"/>
          <w:vertAlign w:val="superscript"/>
        </w:rPr>
        <w:t>-1</w:t>
      </w:r>
      <w:r>
        <w:rPr>
          <w:color w:val="000000"/>
        </w:rPr>
        <w:t>.</w:t>
      </w:r>
    </w:p>
    <w:p w:rsidR="00C37EEF" w:rsidRPr="009465D5" w:rsidRDefault="00C37EEF" w:rsidP="00C37EEF">
      <w:pPr>
        <w:spacing w:before="100" w:beforeAutospacing="1" w:after="100" w:afterAutospacing="1"/>
        <w:jc w:val="both"/>
        <w:rPr>
          <w:color w:val="000000"/>
        </w:rPr>
      </w:pPr>
    </w:p>
    <w:p w:rsidR="00C37EEF" w:rsidRDefault="00C37EEF" w:rsidP="00C37EEF">
      <w:pPr>
        <w:spacing w:before="100" w:beforeAutospacing="1" w:after="100" w:afterAutospacing="1" w:line="360" w:lineRule="auto"/>
        <w:jc w:val="center"/>
        <w:outlineLvl w:val="0"/>
        <w:rPr>
          <w:color w:val="000000"/>
        </w:rPr>
      </w:pPr>
      <w:r>
        <w:rPr>
          <w:noProof/>
          <w:color w:val="000000"/>
        </w:rPr>
        <w:lastRenderedPageBreak/>
        <w:drawing>
          <wp:inline distT="0" distB="0" distL="0" distR="0">
            <wp:extent cx="5753100" cy="2819400"/>
            <wp:effectExtent l="19050" t="0" r="0" b="0"/>
            <wp:docPr id="505" name="Image 5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5"/>
                    <pic:cNvPicPr>
                      <a:picLocks noChangeAspect="1" noChangeArrowheads="1"/>
                    </pic:cNvPicPr>
                  </pic:nvPicPr>
                  <pic:blipFill>
                    <a:blip r:embed="rId57" cstate="print"/>
                    <a:srcRect/>
                    <a:stretch>
                      <a:fillRect/>
                    </a:stretch>
                  </pic:blipFill>
                  <pic:spPr bwMode="auto">
                    <a:xfrm>
                      <a:off x="0" y="0"/>
                      <a:ext cx="5753100" cy="2819400"/>
                    </a:xfrm>
                    <a:prstGeom prst="rect">
                      <a:avLst/>
                    </a:prstGeom>
                    <a:noFill/>
                    <a:ln w="9525">
                      <a:noFill/>
                      <a:miter lim="800000"/>
                      <a:headEnd/>
                      <a:tailEnd/>
                    </a:ln>
                  </pic:spPr>
                </pic:pic>
              </a:graphicData>
            </a:graphic>
          </wp:inline>
        </w:drawing>
      </w:r>
    </w:p>
    <w:p w:rsidR="00C37EEF" w:rsidRDefault="00C37EEF" w:rsidP="00C37EEF">
      <w:pPr>
        <w:spacing w:before="100" w:beforeAutospacing="1" w:after="100" w:afterAutospacing="1" w:line="360" w:lineRule="auto"/>
        <w:jc w:val="center"/>
        <w:outlineLvl w:val="0"/>
        <w:rPr>
          <w:color w:val="000000"/>
        </w:rPr>
      </w:pPr>
      <w:r>
        <w:rPr>
          <w:color w:val="000000"/>
        </w:rPr>
        <w:t xml:space="preserve">Figure </w:t>
      </w:r>
      <w:r>
        <w:rPr>
          <w:color w:val="000000"/>
        </w:rPr>
        <w:tab/>
        <w:t xml:space="preserve">8 : Spectre IR du </w:t>
      </w:r>
      <w:proofErr w:type="spellStart"/>
      <w:r>
        <w:rPr>
          <w:color w:val="000000"/>
        </w:rPr>
        <w:t>pentan</w:t>
      </w:r>
      <w:proofErr w:type="spellEnd"/>
      <w:r>
        <w:rPr>
          <w:color w:val="000000"/>
        </w:rPr>
        <w:t>-2-one.</w:t>
      </w:r>
    </w:p>
    <w:p w:rsidR="00C37EEF" w:rsidRPr="00231D27" w:rsidRDefault="00C37EEF" w:rsidP="00C37EEF">
      <w:pPr>
        <w:spacing w:before="100" w:beforeAutospacing="1" w:after="100" w:afterAutospacing="1" w:line="360" w:lineRule="auto"/>
        <w:jc w:val="both"/>
        <w:outlineLvl w:val="0"/>
        <w:rPr>
          <w:color w:val="000000"/>
        </w:rPr>
      </w:pPr>
      <w:r>
        <w:rPr>
          <w:color w:val="000000"/>
        </w:rPr>
        <w:sym w:font="Symbol" w:char="F06E"/>
      </w:r>
      <w:proofErr w:type="gramStart"/>
      <w:r>
        <w:rPr>
          <w:color w:val="000000"/>
          <w:vertAlign w:val="subscript"/>
        </w:rPr>
        <w:t>a</w:t>
      </w:r>
      <w:proofErr w:type="gramEnd"/>
      <w:r>
        <w:rPr>
          <w:color w:val="000000"/>
        </w:rPr>
        <w:t xml:space="preserve"> méthyle, 2966 cm</w:t>
      </w:r>
      <w:r>
        <w:rPr>
          <w:color w:val="000000"/>
          <w:vertAlign w:val="superscript"/>
        </w:rPr>
        <w:t>-1</w:t>
      </w:r>
      <w:r>
        <w:rPr>
          <w:color w:val="000000"/>
        </w:rPr>
        <w:t xml:space="preserve">.  </w:t>
      </w:r>
      <w:r>
        <w:rPr>
          <w:color w:val="000000"/>
        </w:rPr>
        <w:sym w:font="Symbol" w:char="F06E"/>
      </w:r>
      <w:proofErr w:type="gramStart"/>
      <w:r>
        <w:rPr>
          <w:color w:val="000000"/>
          <w:vertAlign w:val="subscript"/>
        </w:rPr>
        <w:t>a</w:t>
      </w:r>
      <w:proofErr w:type="gramEnd"/>
      <w:r>
        <w:rPr>
          <w:color w:val="000000"/>
        </w:rPr>
        <w:t xml:space="preserve"> méthylène, 2936 cm</w:t>
      </w:r>
      <w:r>
        <w:rPr>
          <w:color w:val="000000"/>
          <w:vertAlign w:val="superscript"/>
        </w:rPr>
        <w:t>-1</w:t>
      </w:r>
      <w:r>
        <w:rPr>
          <w:color w:val="000000"/>
        </w:rPr>
        <w:t xml:space="preserve">.  </w:t>
      </w:r>
      <w:r>
        <w:rPr>
          <w:color w:val="000000"/>
        </w:rPr>
        <w:sym w:font="Symbol" w:char="F06E"/>
      </w:r>
      <w:proofErr w:type="gramStart"/>
      <w:r>
        <w:rPr>
          <w:color w:val="000000"/>
          <w:vertAlign w:val="subscript"/>
        </w:rPr>
        <w:t>s</w:t>
      </w:r>
      <w:proofErr w:type="gramEnd"/>
      <w:r>
        <w:rPr>
          <w:color w:val="000000"/>
        </w:rPr>
        <w:t xml:space="preserve"> méthyle, 2877 cm</w:t>
      </w:r>
      <w:r>
        <w:rPr>
          <w:color w:val="000000"/>
          <w:vertAlign w:val="superscript"/>
        </w:rPr>
        <w:t>-1</w:t>
      </w:r>
      <w:r>
        <w:rPr>
          <w:color w:val="000000"/>
        </w:rPr>
        <w:t>. Elongation C=O normale, 1721 cm</w:t>
      </w:r>
      <w:r>
        <w:rPr>
          <w:color w:val="000000"/>
          <w:vertAlign w:val="superscript"/>
        </w:rPr>
        <w:t>-1</w:t>
      </w:r>
      <w:r>
        <w:rPr>
          <w:color w:val="000000"/>
        </w:rPr>
        <w:t xml:space="preserve">. </w:t>
      </w:r>
      <w:r>
        <w:rPr>
          <w:color w:val="000000"/>
        </w:rPr>
        <w:sym w:font="Symbol" w:char="F064"/>
      </w:r>
      <w:r>
        <w:rPr>
          <w:color w:val="000000"/>
          <w:vertAlign w:val="subscript"/>
        </w:rPr>
        <w:t>a</w:t>
      </w:r>
      <w:r>
        <w:rPr>
          <w:color w:val="000000"/>
        </w:rPr>
        <w:t>CH</w:t>
      </w:r>
      <w:r>
        <w:rPr>
          <w:color w:val="000000"/>
          <w:vertAlign w:val="subscript"/>
        </w:rPr>
        <w:t>3</w:t>
      </w:r>
      <w:r>
        <w:rPr>
          <w:color w:val="000000"/>
        </w:rPr>
        <w:t>, 1463 cm</w:t>
      </w:r>
      <w:r>
        <w:rPr>
          <w:color w:val="000000"/>
          <w:vertAlign w:val="superscript"/>
        </w:rPr>
        <w:t>-1</w:t>
      </w:r>
      <w:r>
        <w:rPr>
          <w:color w:val="000000"/>
        </w:rPr>
        <w:t xml:space="preserve">.  </w:t>
      </w:r>
      <w:r>
        <w:rPr>
          <w:color w:val="000000"/>
        </w:rPr>
        <w:sym w:font="Symbol" w:char="F064"/>
      </w:r>
      <w:r>
        <w:rPr>
          <w:color w:val="000000"/>
        </w:rPr>
        <w:t>CH</w:t>
      </w:r>
      <w:r>
        <w:rPr>
          <w:color w:val="000000"/>
          <w:vertAlign w:val="subscript"/>
        </w:rPr>
        <w:t>2</w:t>
      </w:r>
      <w:r>
        <w:rPr>
          <w:color w:val="000000"/>
        </w:rPr>
        <w:t>, 1409 cm</w:t>
      </w:r>
      <w:r>
        <w:rPr>
          <w:color w:val="000000"/>
          <w:vertAlign w:val="superscript"/>
        </w:rPr>
        <w:t>-1</w:t>
      </w:r>
      <w:r>
        <w:rPr>
          <w:color w:val="000000"/>
        </w:rPr>
        <w:t xml:space="preserve">. </w:t>
      </w:r>
      <w:r>
        <w:rPr>
          <w:color w:val="000000"/>
        </w:rPr>
        <w:sym w:font="Symbol" w:char="F064"/>
      </w:r>
      <w:proofErr w:type="gramStart"/>
      <w:r>
        <w:rPr>
          <w:color w:val="000000"/>
          <w:vertAlign w:val="subscript"/>
        </w:rPr>
        <w:t>s</w:t>
      </w:r>
      <w:r>
        <w:rPr>
          <w:color w:val="000000"/>
        </w:rPr>
        <w:t>CH</w:t>
      </w:r>
      <w:r>
        <w:rPr>
          <w:color w:val="000000"/>
          <w:vertAlign w:val="subscript"/>
        </w:rPr>
        <w:t>3</w:t>
      </w:r>
      <w:proofErr w:type="gramEnd"/>
      <w:r>
        <w:rPr>
          <w:color w:val="000000"/>
        </w:rPr>
        <w:t xml:space="preserve"> du groupe CH</w:t>
      </w:r>
      <w:r>
        <w:rPr>
          <w:color w:val="000000"/>
          <w:vertAlign w:val="subscript"/>
        </w:rPr>
        <w:t>3</w:t>
      </w:r>
      <w:r>
        <w:rPr>
          <w:color w:val="000000"/>
        </w:rPr>
        <w:t>CO, 1363 cm</w:t>
      </w:r>
      <w:r>
        <w:rPr>
          <w:color w:val="000000"/>
          <w:vertAlign w:val="superscript"/>
        </w:rPr>
        <w:t>-1</w:t>
      </w:r>
      <w:r>
        <w:rPr>
          <w:color w:val="000000"/>
        </w:rPr>
        <w:t>.  Elongation et déformation angulaire C-CO-C, 1169 cm</w:t>
      </w:r>
      <w:r>
        <w:rPr>
          <w:color w:val="000000"/>
          <w:vertAlign w:val="superscript"/>
        </w:rPr>
        <w:t>-1</w:t>
      </w:r>
      <w:r>
        <w:rPr>
          <w:color w:val="000000"/>
        </w:rPr>
        <w:t>.</w:t>
      </w:r>
    </w:p>
    <w:p w:rsidR="00C37EEF" w:rsidRDefault="00C37EEF" w:rsidP="00C37EEF">
      <w:pPr>
        <w:spacing w:before="100" w:beforeAutospacing="1" w:after="100" w:afterAutospacing="1" w:line="360" w:lineRule="auto"/>
        <w:jc w:val="both"/>
        <w:outlineLvl w:val="0"/>
        <w:rPr>
          <w:b/>
          <w:bCs/>
          <w:kern w:val="36"/>
          <w:sz w:val="28"/>
          <w:szCs w:val="28"/>
        </w:rPr>
      </w:pPr>
      <w:r w:rsidRPr="00AF14BF">
        <w:rPr>
          <w:b/>
          <w:bCs/>
          <w:kern w:val="36"/>
          <w:sz w:val="28"/>
          <w:szCs w:val="28"/>
        </w:rPr>
        <w:t>I</w:t>
      </w:r>
      <w:r>
        <w:rPr>
          <w:b/>
          <w:bCs/>
          <w:kern w:val="36"/>
          <w:sz w:val="28"/>
          <w:szCs w:val="28"/>
        </w:rPr>
        <w:t>V–</w:t>
      </w:r>
      <w:r w:rsidRPr="00AF14BF">
        <w:rPr>
          <w:b/>
          <w:bCs/>
          <w:kern w:val="36"/>
          <w:sz w:val="28"/>
          <w:szCs w:val="28"/>
        </w:rPr>
        <w:t xml:space="preserve"> </w:t>
      </w:r>
      <w:r>
        <w:rPr>
          <w:b/>
          <w:bCs/>
          <w:kern w:val="36"/>
          <w:sz w:val="28"/>
          <w:szCs w:val="28"/>
        </w:rPr>
        <w:t>LES ALDEHYDES</w:t>
      </w:r>
    </w:p>
    <w:p w:rsidR="00C37EEF" w:rsidRDefault="00C37EEF" w:rsidP="00C37EEF">
      <w:pPr>
        <w:spacing w:before="100" w:beforeAutospacing="1" w:after="100" w:afterAutospacing="1" w:line="360" w:lineRule="auto"/>
        <w:jc w:val="both"/>
        <w:outlineLvl w:val="0"/>
        <w:rPr>
          <w:color w:val="000000"/>
        </w:rPr>
      </w:pPr>
      <w:r>
        <w:rPr>
          <w:kern w:val="36"/>
        </w:rPr>
        <w:tab/>
        <w:t xml:space="preserve">La bande </w:t>
      </w:r>
      <w:r>
        <w:rPr>
          <w:color w:val="000000"/>
        </w:rPr>
        <w:sym w:font="Symbol" w:char="F06E"/>
      </w:r>
      <w:r>
        <w:rPr>
          <w:color w:val="000000"/>
        </w:rPr>
        <w:t>C=O des aldéhydes est à une fréquence un peu plus élevée que pour les cétones correspondantes (15 cm</w:t>
      </w:r>
      <w:r>
        <w:rPr>
          <w:color w:val="000000"/>
          <w:vertAlign w:val="superscript"/>
        </w:rPr>
        <w:t xml:space="preserve">-1 </w:t>
      </w:r>
      <w:r>
        <w:rPr>
          <w:color w:val="000000"/>
        </w:rPr>
        <w:t>environ). La bande</w:t>
      </w:r>
      <w:r w:rsidRPr="00AF14BF">
        <w:rPr>
          <w:color w:val="000000"/>
        </w:rPr>
        <w:t xml:space="preserve"> </w:t>
      </w:r>
      <w:r>
        <w:rPr>
          <w:color w:val="000000"/>
        </w:rPr>
        <w:sym w:font="Symbol" w:char="F06E"/>
      </w:r>
      <w:r>
        <w:rPr>
          <w:color w:val="000000"/>
        </w:rPr>
        <w:t>C-H est généralement  (exception : le chloral) dédoublée par résonance de Fermi avec 2</w:t>
      </w:r>
      <w:r>
        <w:rPr>
          <w:color w:val="000000"/>
        </w:rPr>
        <w:sym w:font="Symbol" w:char="F064"/>
      </w:r>
      <w:r>
        <w:rPr>
          <w:color w:val="000000"/>
        </w:rPr>
        <w:t xml:space="preserve">CH. L’écart entre les composantes du doublet est égal à 100 </w:t>
      </w:r>
      <w:r>
        <w:rPr>
          <w:color w:val="000000"/>
        </w:rPr>
        <w:sym w:font="Symbol" w:char="F0B1"/>
      </w:r>
      <w:r>
        <w:rPr>
          <w:color w:val="000000"/>
        </w:rPr>
        <w:t>20 cm</w:t>
      </w:r>
      <w:r>
        <w:rPr>
          <w:color w:val="000000"/>
          <w:vertAlign w:val="superscript"/>
        </w:rPr>
        <w:t>-1</w:t>
      </w:r>
      <w:r>
        <w:rPr>
          <w:color w:val="000000"/>
        </w:rPr>
        <w:t xml:space="preserve">. La bande </w:t>
      </w:r>
      <w:r>
        <w:rPr>
          <w:color w:val="000000"/>
        </w:rPr>
        <w:sym w:font="Symbol" w:char="F064"/>
      </w:r>
      <w:r>
        <w:rPr>
          <w:color w:val="000000"/>
        </w:rPr>
        <w:t>CH apparaît sensiblement à la même fréquence pour les aldéhydes aliphatiques et aromatiques.</w:t>
      </w:r>
    </w:p>
    <w:p w:rsidR="00C37EEF" w:rsidRPr="00266686" w:rsidRDefault="00C37EEF" w:rsidP="00C37EEF">
      <w:pPr>
        <w:spacing w:before="100" w:beforeAutospacing="1" w:after="100" w:afterAutospacing="1" w:line="360" w:lineRule="auto"/>
        <w:jc w:val="both"/>
        <w:outlineLvl w:val="0"/>
        <w:rPr>
          <w:kern w:val="36"/>
        </w:rPr>
      </w:pPr>
      <w:r>
        <w:rPr>
          <w:color w:val="000000"/>
        </w:rPr>
        <w:tab/>
        <w:t>Le spectre du 2-</w:t>
      </w:r>
      <w:proofErr w:type="spellStart"/>
      <w:r>
        <w:rPr>
          <w:color w:val="000000"/>
        </w:rPr>
        <w:t>phénylpropionaldéhyde</w:t>
      </w:r>
      <w:proofErr w:type="spellEnd"/>
      <w:r>
        <w:rPr>
          <w:color w:val="000000"/>
        </w:rPr>
        <w:t>, présenté ci-dessous, nous montre les caractéristiques de l’absorption aldéhydique.</w:t>
      </w:r>
    </w:p>
    <w:p w:rsidR="00C37EEF" w:rsidRDefault="00C37EEF" w:rsidP="00C37EEF">
      <w:pPr>
        <w:autoSpaceDE w:val="0"/>
        <w:autoSpaceDN w:val="0"/>
        <w:adjustRightInd w:val="0"/>
        <w:spacing w:line="360" w:lineRule="auto"/>
        <w:jc w:val="center"/>
        <w:rPr>
          <w:color w:val="000000"/>
        </w:rPr>
      </w:pPr>
    </w:p>
    <w:p w:rsidR="00C37EEF" w:rsidRDefault="00C37EEF" w:rsidP="00C37EEF">
      <w:pPr>
        <w:autoSpaceDE w:val="0"/>
        <w:autoSpaceDN w:val="0"/>
        <w:adjustRightInd w:val="0"/>
        <w:spacing w:line="360" w:lineRule="auto"/>
        <w:jc w:val="center"/>
        <w:rPr>
          <w:color w:val="000000"/>
        </w:rPr>
      </w:pPr>
    </w:p>
    <w:p w:rsidR="00C37EEF" w:rsidRDefault="00C37EEF" w:rsidP="00C37EEF">
      <w:pPr>
        <w:autoSpaceDE w:val="0"/>
        <w:autoSpaceDN w:val="0"/>
        <w:adjustRightInd w:val="0"/>
        <w:spacing w:line="360" w:lineRule="auto"/>
        <w:jc w:val="center"/>
        <w:rPr>
          <w:color w:val="000000"/>
        </w:rPr>
      </w:pPr>
      <w:r>
        <w:rPr>
          <w:noProof/>
          <w:color w:val="000000"/>
        </w:rPr>
        <w:lastRenderedPageBreak/>
        <w:drawing>
          <wp:inline distT="0" distB="0" distL="0" distR="0">
            <wp:extent cx="5753100" cy="3724275"/>
            <wp:effectExtent l="19050" t="0" r="0" b="0"/>
            <wp:docPr id="510" name="Image 5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0"/>
                    <pic:cNvPicPr>
                      <a:picLocks noChangeAspect="1" noChangeArrowheads="1"/>
                    </pic:cNvPicPr>
                  </pic:nvPicPr>
                  <pic:blipFill>
                    <a:blip r:embed="rId58" cstate="print"/>
                    <a:srcRect/>
                    <a:stretch>
                      <a:fillRect/>
                    </a:stretch>
                  </pic:blipFill>
                  <pic:spPr bwMode="auto">
                    <a:xfrm>
                      <a:off x="0" y="0"/>
                      <a:ext cx="5753100" cy="3724275"/>
                    </a:xfrm>
                    <a:prstGeom prst="rect">
                      <a:avLst/>
                    </a:prstGeom>
                    <a:noFill/>
                    <a:ln w="9525">
                      <a:noFill/>
                      <a:miter lim="800000"/>
                      <a:headEnd/>
                      <a:tailEnd/>
                    </a:ln>
                  </pic:spPr>
                </pic:pic>
              </a:graphicData>
            </a:graphic>
          </wp:inline>
        </w:drawing>
      </w:r>
      <w:r>
        <w:rPr>
          <w:color w:val="000000"/>
        </w:rPr>
        <w:t>Figure 9 : Spectre IR du 2-</w:t>
      </w:r>
      <w:proofErr w:type="spellStart"/>
      <w:r>
        <w:rPr>
          <w:color w:val="000000"/>
        </w:rPr>
        <w:t>phénylpropionaldéhyde</w:t>
      </w:r>
      <w:proofErr w:type="spellEnd"/>
      <w:r>
        <w:rPr>
          <w:color w:val="000000"/>
        </w:rPr>
        <w:t>.</w:t>
      </w:r>
    </w:p>
    <w:p w:rsidR="00C37EEF" w:rsidRDefault="00C37EEF" w:rsidP="00C37EEF">
      <w:pPr>
        <w:autoSpaceDE w:val="0"/>
        <w:autoSpaceDN w:val="0"/>
        <w:adjustRightInd w:val="0"/>
        <w:spacing w:line="360" w:lineRule="auto"/>
        <w:jc w:val="both"/>
        <w:rPr>
          <w:color w:val="000000"/>
          <w:sz w:val="22"/>
          <w:szCs w:val="22"/>
        </w:rPr>
      </w:pPr>
      <w:r>
        <w:rPr>
          <w:color w:val="000000"/>
        </w:rPr>
        <w:t xml:space="preserve"> Aromatique, 3065 et 3030 cm</w:t>
      </w:r>
      <w:r>
        <w:rPr>
          <w:color w:val="000000"/>
          <w:vertAlign w:val="superscript"/>
        </w:rPr>
        <w:t>-1</w:t>
      </w:r>
      <w:r>
        <w:rPr>
          <w:color w:val="000000"/>
        </w:rPr>
        <w:t>.Aliphatique, 2979, 2936 et 2876 cm</w:t>
      </w:r>
      <w:r>
        <w:rPr>
          <w:color w:val="000000"/>
          <w:vertAlign w:val="superscript"/>
        </w:rPr>
        <w:t>-1</w:t>
      </w:r>
      <w:r>
        <w:rPr>
          <w:color w:val="000000"/>
        </w:rPr>
        <w:t>. Aldéhydique, élongation C-H, 2817 et 2719 cm</w:t>
      </w:r>
      <w:r>
        <w:rPr>
          <w:color w:val="000000"/>
          <w:vertAlign w:val="superscript"/>
        </w:rPr>
        <w:t>-1</w:t>
      </w:r>
      <w:r>
        <w:rPr>
          <w:color w:val="000000"/>
        </w:rPr>
        <w:t xml:space="preserve">. Doublet dû à la résonance de Fermi avec une harmonique de la bande à </w:t>
      </w:r>
      <w:r>
        <w:rPr>
          <w:color w:val="000000"/>
          <w:sz w:val="22"/>
          <w:szCs w:val="22"/>
        </w:rPr>
        <w:t>1391 cm</w:t>
      </w:r>
      <w:r>
        <w:rPr>
          <w:color w:val="000000"/>
          <w:sz w:val="22"/>
          <w:szCs w:val="22"/>
          <w:vertAlign w:val="superscript"/>
        </w:rPr>
        <w:t>-1</w:t>
      </w:r>
      <w:r>
        <w:rPr>
          <w:color w:val="000000"/>
        </w:rPr>
        <w:t>. Elongation normale du C=O aldéhydique, 1724 cm</w:t>
      </w:r>
      <w:r>
        <w:rPr>
          <w:color w:val="000000"/>
          <w:vertAlign w:val="superscript"/>
        </w:rPr>
        <w:t>-1</w:t>
      </w:r>
      <w:r>
        <w:rPr>
          <w:color w:val="000000"/>
          <w:sz w:val="22"/>
          <w:szCs w:val="22"/>
        </w:rPr>
        <w:t>. L’élongation C=O conjuguée devrait être vers 1700 cm</w:t>
      </w:r>
      <w:r>
        <w:rPr>
          <w:color w:val="000000"/>
          <w:sz w:val="22"/>
          <w:szCs w:val="22"/>
          <w:vertAlign w:val="superscript"/>
        </w:rPr>
        <w:t>-1</w:t>
      </w:r>
      <w:r>
        <w:rPr>
          <w:color w:val="000000"/>
          <w:sz w:val="22"/>
          <w:szCs w:val="22"/>
        </w:rPr>
        <w:t>. Par exemple comme pour le C</w:t>
      </w:r>
      <w:r>
        <w:rPr>
          <w:color w:val="000000"/>
          <w:sz w:val="22"/>
          <w:szCs w:val="22"/>
          <w:vertAlign w:val="subscript"/>
        </w:rPr>
        <w:t>6</w:t>
      </w:r>
      <w:r>
        <w:rPr>
          <w:color w:val="000000"/>
          <w:sz w:val="22"/>
          <w:szCs w:val="22"/>
        </w:rPr>
        <w:t>H</w:t>
      </w:r>
      <w:r>
        <w:rPr>
          <w:color w:val="000000"/>
          <w:sz w:val="22"/>
          <w:szCs w:val="22"/>
          <w:vertAlign w:val="subscript"/>
        </w:rPr>
        <w:t>5</w:t>
      </w:r>
      <w:r>
        <w:rPr>
          <w:color w:val="000000"/>
          <w:sz w:val="22"/>
          <w:szCs w:val="22"/>
        </w:rPr>
        <w:t>CHO. Elongation C=C du cycle, 1602, 1584, 1493 et 1453 cm</w:t>
      </w:r>
      <w:r>
        <w:rPr>
          <w:color w:val="000000"/>
          <w:sz w:val="22"/>
          <w:szCs w:val="22"/>
          <w:vertAlign w:val="superscript"/>
        </w:rPr>
        <w:t>-1</w:t>
      </w:r>
      <w:r>
        <w:rPr>
          <w:color w:val="000000"/>
          <w:sz w:val="22"/>
          <w:szCs w:val="22"/>
        </w:rPr>
        <w:t>.Déformation angulaire C-H aldéhydique</w:t>
      </w:r>
      <w:proofErr w:type="gramStart"/>
      <w:r>
        <w:rPr>
          <w:color w:val="000000"/>
          <w:sz w:val="22"/>
          <w:szCs w:val="22"/>
        </w:rPr>
        <w:t>,1391cm</w:t>
      </w:r>
      <w:proofErr w:type="gramEnd"/>
      <w:r>
        <w:rPr>
          <w:color w:val="000000"/>
          <w:sz w:val="22"/>
          <w:szCs w:val="22"/>
          <w:vertAlign w:val="superscript"/>
        </w:rPr>
        <w:t>-1</w:t>
      </w:r>
      <w:r>
        <w:rPr>
          <w:color w:val="000000"/>
          <w:sz w:val="22"/>
          <w:szCs w:val="22"/>
        </w:rPr>
        <w:t>.                       Déformation angulaire C-H hors du plan</w:t>
      </w:r>
      <w:proofErr w:type="gramStart"/>
      <w:r>
        <w:rPr>
          <w:color w:val="000000"/>
          <w:sz w:val="22"/>
          <w:szCs w:val="22"/>
        </w:rPr>
        <w:t>,760</w:t>
      </w:r>
      <w:proofErr w:type="gramEnd"/>
      <w:r>
        <w:rPr>
          <w:color w:val="000000"/>
          <w:sz w:val="22"/>
          <w:szCs w:val="22"/>
        </w:rPr>
        <w:t xml:space="preserve"> cm</w:t>
      </w:r>
      <w:r>
        <w:rPr>
          <w:color w:val="000000"/>
          <w:sz w:val="22"/>
          <w:szCs w:val="22"/>
          <w:vertAlign w:val="superscript"/>
        </w:rPr>
        <w:t>-1</w:t>
      </w:r>
      <w:r>
        <w:rPr>
          <w:color w:val="000000"/>
          <w:sz w:val="22"/>
          <w:szCs w:val="22"/>
        </w:rPr>
        <w:t>. Déformation angulaire C=C hors du plan, 701 cm</w:t>
      </w:r>
      <w:r>
        <w:rPr>
          <w:color w:val="000000"/>
          <w:sz w:val="22"/>
          <w:szCs w:val="22"/>
          <w:vertAlign w:val="superscript"/>
        </w:rPr>
        <w:t>-1</w:t>
      </w:r>
      <w:r>
        <w:rPr>
          <w:color w:val="000000"/>
          <w:sz w:val="22"/>
          <w:szCs w:val="22"/>
        </w:rPr>
        <w:t>.</w:t>
      </w:r>
    </w:p>
    <w:p w:rsidR="00C37EEF" w:rsidRDefault="00C37EEF" w:rsidP="00C37EEF">
      <w:pPr>
        <w:spacing w:before="100" w:beforeAutospacing="1" w:after="100" w:afterAutospacing="1" w:line="360" w:lineRule="auto"/>
        <w:jc w:val="both"/>
        <w:outlineLvl w:val="0"/>
        <w:rPr>
          <w:b/>
          <w:bCs/>
          <w:kern w:val="36"/>
          <w:sz w:val="28"/>
          <w:szCs w:val="28"/>
        </w:rPr>
      </w:pPr>
      <w:r>
        <w:rPr>
          <w:b/>
          <w:bCs/>
          <w:kern w:val="36"/>
          <w:sz w:val="28"/>
          <w:szCs w:val="28"/>
        </w:rPr>
        <w:t>V–</w:t>
      </w:r>
      <w:r w:rsidRPr="00AF14BF">
        <w:rPr>
          <w:b/>
          <w:bCs/>
          <w:kern w:val="36"/>
          <w:sz w:val="28"/>
          <w:szCs w:val="28"/>
        </w:rPr>
        <w:t xml:space="preserve"> </w:t>
      </w:r>
      <w:r>
        <w:rPr>
          <w:b/>
          <w:bCs/>
          <w:kern w:val="36"/>
          <w:sz w:val="28"/>
          <w:szCs w:val="28"/>
        </w:rPr>
        <w:t>LES ACIDES CARBOXYLIQUES</w:t>
      </w:r>
    </w:p>
    <w:p w:rsidR="00C37EEF" w:rsidRPr="00377B06" w:rsidRDefault="00C37EEF" w:rsidP="00C37EEF">
      <w:pPr>
        <w:spacing w:before="100" w:beforeAutospacing="1" w:after="100" w:afterAutospacing="1" w:line="360" w:lineRule="auto"/>
        <w:jc w:val="both"/>
        <w:outlineLvl w:val="0"/>
        <w:rPr>
          <w:b/>
          <w:bCs/>
          <w:kern w:val="36"/>
          <w:sz w:val="28"/>
          <w:szCs w:val="28"/>
        </w:rPr>
      </w:pPr>
      <w:r>
        <w:rPr>
          <w:b/>
          <w:bCs/>
          <w:kern w:val="36"/>
          <w:sz w:val="28"/>
          <w:szCs w:val="28"/>
        </w:rPr>
        <w:t xml:space="preserve">V– </w:t>
      </w:r>
      <w:r w:rsidRPr="00377B06">
        <w:rPr>
          <w:b/>
          <w:bCs/>
          <w:kern w:val="36"/>
          <w:sz w:val="28"/>
          <w:szCs w:val="28"/>
        </w:rPr>
        <w:t>1 – La vibration de valence du vibrateur O-H</w:t>
      </w:r>
    </w:p>
    <w:p w:rsidR="00C37EEF" w:rsidRDefault="00C37EEF" w:rsidP="00C37EEF">
      <w:pPr>
        <w:spacing w:before="100" w:beforeAutospacing="1" w:after="100" w:afterAutospacing="1" w:line="360" w:lineRule="auto"/>
        <w:jc w:val="both"/>
        <w:outlineLvl w:val="0"/>
        <w:rPr>
          <w:kern w:val="36"/>
        </w:rPr>
      </w:pPr>
      <w:r>
        <w:rPr>
          <w:kern w:val="36"/>
        </w:rPr>
        <w:tab/>
        <w:t xml:space="preserve">Le spectre des </w:t>
      </w:r>
      <w:r w:rsidRPr="004501EE">
        <w:rPr>
          <w:kern w:val="36"/>
        </w:rPr>
        <w:t>acides carboxyliques</w:t>
      </w:r>
      <w:r>
        <w:rPr>
          <w:kern w:val="36"/>
        </w:rPr>
        <w:t xml:space="preserve"> dépend de leur état d’association. A l’état liquide ou en solution très concentrée, ils se trouvent essentiellement sous forme de dimères fermés à cause d’importants ponts hydrogène. A l’état solide ils sont souvent sous forme de chaîne infinie.</w:t>
      </w:r>
    </w:p>
    <w:p w:rsidR="00C37EEF" w:rsidRDefault="00C37EEF" w:rsidP="00C37EEF">
      <w:pPr>
        <w:jc w:val="center"/>
        <w:outlineLvl w:val="0"/>
      </w:pPr>
      <w:r>
        <w:object w:dxaOrig="3352" w:dyaOrig="1284">
          <v:shape id="_x0000_i1027" type="#_x0000_t75" style="width:167pt;height:65pt" o:ole="">
            <v:imagedata r:id="rId59" o:title=""/>
          </v:shape>
          <o:OLEObject Type="Embed" ProgID="ChemDraw.Document.4.5" ShapeID="_x0000_i1027" DrawAspect="Content" ObjectID="_1572675397" r:id="rId60"/>
        </w:object>
      </w:r>
    </w:p>
    <w:p w:rsidR="00C37EEF" w:rsidRDefault="00C37EEF" w:rsidP="00C37EEF">
      <w:pPr>
        <w:spacing w:line="360" w:lineRule="auto"/>
        <w:jc w:val="center"/>
        <w:outlineLvl w:val="0"/>
        <w:rPr>
          <w:kern w:val="36"/>
        </w:rPr>
      </w:pPr>
      <w:r>
        <w:rPr>
          <w:color w:val="000000"/>
        </w:rPr>
        <w:sym w:font="Symbol" w:char="F06E"/>
      </w:r>
      <w:r w:rsidRPr="008C4037">
        <w:rPr>
          <w:color w:val="000000"/>
          <w:vertAlign w:val="subscript"/>
        </w:rPr>
        <w:t>OH</w:t>
      </w:r>
      <w:r>
        <w:rPr>
          <w:color w:val="000000"/>
        </w:rPr>
        <w:t xml:space="preserve"> : </w:t>
      </w:r>
      <w:r>
        <w:t xml:space="preserve">3300-2500 </w:t>
      </w:r>
      <w:r>
        <w:rPr>
          <w:kern w:val="36"/>
        </w:rPr>
        <w:t>cm</w:t>
      </w:r>
      <w:r>
        <w:rPr>
          <w:kern w:val="36"/>
          <w:vertAlign w:val="superscript"/>
        </w:rPr>
        <w:t>-1</w:t>
      </w:r>
    </w:p>
    <w:p w:rsidR="00C37EEF" w:rsidRPr="00F1556A" w:rsidRDefault="00C37EEF" w:rsidP="00C37EEF">
      <w:pPr>
        <w:spacing w:line="360" w:lineRule="auto"/>
        <w:jc w:val="both"/>
        <w:outlineLvl w:val="0"/>
        <w:rPr>
          <w:kern w:val="36"/>
        </w:rPr>
      </w:pPr>
      <w:r>
        <w:rPr>
          <w:kern w:val="36"/>
        </w:rPr>
        <w:lastRenderedPageBreak/>
        <w:tab/>
        <w:t>Ces dimères montrent une absorption large et intense due à la vibration de valence du vibrateur O-H entre 3300 et 2500 cm</w:t>
      </w:r>
      <w:r>
        <w:rPr>
          <w:kern w:val="36"/>
          <w:vertAlign w:val="superscript"/>
        </w:rPr>
        <w:t>-1</w:t>
      </w:r>
      <w:r>
        <w:rPr>
          <w:kern w:val="36"/>
        </w:rPr>
        <w:t>.</w:t>
      </w:r>
    </w:p>
    <w:p w:rsidR="00C37EEF" w:rsidRPr="00F7144B" w:rsidRDefault="00C37EEF" w:rsidP="00C37EEF">
      <w:pPr>
        <w:autoSpaceDE w:val="0"/>
        <w:autoSpaceDN w:val="0"/>
        <w:adjustRightInd w:val="0"/>
        <w:spacing w:line="360" w:lineRule="auto"/>
        <w:jc w:val="both"/>
        <w:rPr>
          <w:color w:val="000000"/>
        </w:rPr>
      </w:pPr>
      <w:r>
        <w:rPr>
          <w:b/>
          <w:bCs/>
          <w:kern w:val="36"/>
          <w:sz w:val="28"/>
          <w:szCs w:val="28"/>
        </w:rPr>
        <w:tab/>
      </w:r>
      <w:r w:rsidRPr="00F7144B">
        <w:rPr>
          <w:color w:val="000000"/>
        </w:rPr>
        <w:t xml:space="preserve">Notons par ailleurs que la forme de la bande d'absorption permet de reconnaître si la vibration d'élongation provient </w:t>
      </w:r>
      <w:proofErr w:type="gramStart"/>
      <w:r w:rsidRPr="00F7144B">
        <w:rPr>
          <w:color w:val="000000"/>
        </w:rPr>
        <w:t>du O-H</w:t>
      </w:r>
      <w:proofErr w:type="gramEnd"/>
      <w:r w:rsidRPr="00F7144B">
        <w:rPr>
          <w:color w:val="000000"/>
        </w:rPr>
        <w:t xml:space="preserve"> d'un acide carboxylique ou d'un alcool.</w:t>
      </w:r>
      <w:r w:rsidRPr="00F1556A">
        <w:rPr>
          <w:color w:val="000000"/>
        </w:rPr>
        <w:t xml:space="preserve"> </w:t>
      </w:r>
      <w:r>
        <w:rPr>
          <w:color w:val="000000"/>
        </w:rPr>
        <w:t>Ainsi dans le</w:t>
      </w:r>
      <w:r w:rsidRPr="00F1556A">
        <w:rPr>
          <w:color w:val="000000"/>
        </w:rPr>
        <w:t xml:space="preserve"> cas où OH est celui d’un acide carboxylique, la bande est tellement abaissée et élargie qu’elle recouvre les bandes </w:t>
      </w:r>
      <w:r>
        <w:rPr>
          <w:color w:val="000000"/>
        </w:rPr>
        <w:sym w:font="Symbol" w:char="F06E"/>
      </w:r>
      <w:r w:rsidRPr="00F1556A">
        <w:rPr>
          <w:color w:val="000000"/>
        </w:rPr>
        <w:t>CH donnant au spectre un aspect très caractéristique.</w:t>
      </w:r>
    </w:p>
    <w:p w:rsidR="00C37EEF" w:rsidRDefault="00C37EEF" w:rsidP="00C37EEF">
      <w:pPr>
        <w:spacing w:before="240" w:line="360" w:lineRule="auto"/>
        <w:jc w:val="center"/>
        <w:outlineLvl w:val="0"/>
        <w:rPr>
          <w:color w:val="000000"/>
        </w:rPr>
      </w:pPr>
      <w:r>
        <w:rPr>
          <w:noProof/>
          <w:color w:val="000000"/>
        </w:rPr>
        <w:drawing>
          <wp:inline distT="0" distB="0" distL="0" distR="0">
            <wp:extent cx="2781300" cy="1590675"/>
            <wp:effectExtent l="19050" t="0" r="0" b="0"/>
            <wp:docPr id="507" name="Image 507" descr="ir_2_02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7" descr="ir_2_02d"/>
                    <pic:cNvPicPr>
                      <a:picLocks noChangeAspect="1" noChangeArrowheads="1"/>
                    </pic:cNvPicPr>
                  </pic:nvPicPr>
                  <pic:blipFill>
                    <a:blip r:embed="rId61" cstate="print">
                      <a:lum bright="-48000" contrast="66000"/>
                      <a:grayscl/>
                      <a:biLevel thresh="50000"/>
                    </a:blip>
                    <a:srcRect/>
                    <a:stretch>
                      <a:fillRect/>
                    </a:stretch>
                  </pic:blipFill>
                  <pic:spPr bwMode="auto">
                    <a:xfrm>
                      <a:off x="0" y="0"/>
                      <a:ext cx="2781300" cy="1590675"/>
                    </a:xfrm>
                    <a:prstGeom prst="rect">
                      <a:avLst/>
                    </a:prstGeom>
                    <a:noFill/>
                    <a:ln w="9525">
                      <a:noFill/>
                      <a:miter lim="800000"/>
                      <a:headEnd/>
                      <a:tailEnd/>
                    </a:ln>
                  </pic:spPr>
                </pic:pic>
              </a:graphicData>
            </a:graphic>
          </wp:inline>
        </w:drawing>
      </w:r>
    </w:p>
    <w:p w:rsidR="00C37EEF" w:rsidRPr="00F7144B" w:rsidRDefault="00C37EEF" w:rsidP="00C37EEF">
      <w:pPr>
        <w:spacing w:before="100" w:beforeAutospacing="1" w:after="100" w:afterAutospacing="1" w:line="360" w:lineRule="auto"/>
        <w:jc w:val="center"/>
        <w:outlineLvl w:val="0"/>
        <w:rPr>
          <w:b/>
          <w:bCs/>
          <w:kern w:val="36"/>
        </w:rPr>
      </w:pPr>
      <w:r>
        <w:rPr>
          <w:color w:val="000000"/>
        </w:rPr>
        <w:t xml:space="preserve">Figure 10 : Spectres IR d’un acide et d’un alcool dans la région </w:t>
      </w:r>
      <w:r>
        <w:rPr>
          <w:color w:val="000000"/>
        </w:rPr>
        <w:sym w:font="Symbol" w:char="F06E"/>
      </w:r>
      <w:r w:rsidRPr="00206E4C">
        <w:rPr>
          <w:color w:val="000000"/>
          <w:vertAlign w:val="subscript"/>
        </w:rPr>
        <w:t>OH</w:t>
      </w:r>
      <w:r w:rsidRPr="003C0C7C">
        <w:rPr>
          <w:color w:val="000000"/>
        </w:rPr>
        <w:t>.</w:t>
      </w:r>
    </w:p>
    <w:p w:rsidR="00C37EEF" w:rsidRDefault="00C37EEF" w:rsidP="00C37EEF">
      <w:pPr>
        <w:spacing w:before="100" w:beforeAutospacing="1" w:after="100" w:afterAutospacing="1" w:line="360" w:lineRule="auto"/>
        <w:jc w:val="both"/>
        <w:rPr>
          <w:color w:val="000000"/>
        </w:rPr>
      </w:pPr>
      <w:r>
        <w:rPr>
          <w:color w:val="000000"/>
        </w:rPr>
        <w:tab/>
      </w:r>
      <w:r w:rsidRPr="00F7144B">
        <w:rPr>
          <w:color w:val="000000"/>
        </w:rPr>
        <w:t>Dans le cas d'un alcool, la bande OH possède une forme symétrique centrée vers 3300 cm</w:t>
      </w:r>
      <w:r w:rsidRPr="00F7144B">
        <w:rPr>
          <w:color w:val="000000"/>
          <w:vertAlign w:val="superscript"/>
        </w:rPr>
        <w:t>-1</w:t>
      </w:r>
      <w:r>
        <w:rPr>
          <w:color w:val="000000"/>
        </w:rPr>
        <w:t>, alors que d</w:t>
      </w:r>
      <w:r w:rsidRPr="00F7144B">
        <w:rPr>
          <w:color w:val="000000"/>
        </w:rPr>
        <w:t xml:space="preserve">ans le cas d'un acide carboxylique R-(C=O)-OH </w:t>
      </w:r>
      <w:r>
        <w:rPr>
          <w:color w:val="000000"/>
        </w:rPr>
        <w:t xml:space="preserve"> </w:t>
      </w:r>
      <w:r w:rsidRPr="00F7144B">
        <w:rPr>
          <w:color w:val="000000"/>
        </w:rPr>
        <w:t>la bande d'élongation du OH n'est pas symétrique et peut absorber parfois sur une plage centrée vers 3000 cm</w:t>
      </w:r>
      <w:r w:rsidRPr="00F7144B">
        <w:rPr>
          <w:color w:val="000000"/>
          <w:vertAlign w:val="superscript"/>
        </w:rPr>
        <w:t>-1</w:t>
      </w:r>
      <w:r w:rsidRPr="00F7144B">
        <w:rPr>
          <w:color w:val="000000"/>
        </w:rPr>
        <w:t xml:space="preserve"> et allant jusqu'à 2300 cm</w:t>
      </w:r>
      <w:r w:rsidRPr="00F7144B">
        <w:rPr>
          <w:color w:val="000000"/>
          <w:vertAlign w:val="superscript"/>
        </w:rPr>
        <w:t>-1</w:t>
      </w:r>
      <w:r w:rsidRPr="00F7144B">
        <w:rPr>
          <w:color w:val="000000"/>
        </w:rPr>
        <w:t>.</w:t>
      </w:r>
      <w:r>
        <w:rPr>
          <w:color w:val="000000"/>
        </w:rPr>
        <w:t xml:space="preserve">  </w:t>
      </w:r>
      <w:r w:rsidRPr="00F7144B">
        <w:rPr>
          <w:color w:val="000000"/>
        </w:rPr>
        <w:t>La forme de la bande d'absorption de l'élongation du O-H est un des moyens efficace</w:t>
      </w:r>
      <w:r>
        <w:rPr>
          <w:color w:val="000000"/>
        </w:rPr>
        <w:t>s</w:t>
      </w:r>
      <w:r w:rsidRPr="00F7144B">
        <w:rPr>
          <w:color w:val="000000"/>
        </w:rPr>
        <w:t xml:space="preserve"> et rapide</w:t>
      </w:r>
      <w:r>
        <w:rPr>
          <w:color w:val="000000"/>
        </w:rPr>
        <w:t>s</w:t>
      </w:r>
      <w:r w:rsidRPr="00F7144B">
        <w:rPr>
          <w:color w:val="000000"/>
        </w:rPr>
        <w:t xml:space="preserve"> de différenciation entre les fonctions alcool et acide carboxylique.</w:t>
      </w:r>
    </w:p>
    <w:p w:rsidR="00C37EEF" w:rsidRPr="00377B06" w:rsidRDefault="00C37EEF" w:rsidP="00C37EEF">
      <w:pPr>
        <w:spacing w:before="100" w:beforeAutospacing="1" w:after="100" w:afterAutospacing="1" w:line="360" w:lineRule="auto"/>
        <w:jc w:val="both"/>
        <w:rPr>
          <w:b/>
          <w:bCs/>
          <w:color w:val="000000"/>
          <w:sz w:val="28"/>
          <w:szCs w:val="28"/>
        </w:rPr>
      </w:pPr>
      <w:r w:rsidRPr="00377B06">
        <w:rPr>
          <w:b/>
          <w:bCs/>
          <w:color w:val="000000"/>
          <w:sz w:val="28"/>
          <w:szCs w:val="28"/>
        </w:rPr>
        <w:t>V– 2 – La vibration de valence du vibrateur C=O</w:t>
      </w:r>
    </w:p>
    <w:p w:rsidR="00C37EEF" w:rsidRDefault="00C37EEF" w:rsidP="00C37EEF">
      <w:pPr>
        <w:spacing w:before="100" w:beforeAutospacing="1" w:after="100" w:afterAutospacing="1" w:line="360" w:lineRule="auto"/>
        <w:jc w:val="both"/>
        <w:rPr>
          <w:color w:val="000000"/>
        </w:rPr>
      </w:pPr>
      <w:r>
        <w:rPr>
          <w:color w:val="000000"/>
        </w:rPr>
        <w:tab/>
        <w:t>Les bandes d’élongation C=O des acides sont nettement plus intenses que les bandes d’élongation des C=O cétoniques. Les monomères des acides aliphatiques saturés absorbent vers 1760 cm</w:t>
      </w:r>
      <w:r>
        <w:rPr>
          <w:color w:val="000000"/>
          <w:vertAlign w:val="superscript"/>
        </w:rPr>
        <w:t>-1</w:t>
      </w:r>
      <w:r>
        <w:rPr>
          <w:color w:val="000000"/>
        </w:rPr>
        <w:t>.</w:t>
      </w:r>
    </w:p>
    <w:p w:rsidR="00C37EEF" w:rsidRPr="001C4515" w:rsidRDefault="00C37EEF" w:rsidP="00C37EEF">
      <w:pPr>
        <w:spacing w:before="100" w:beforeAutospacing="1" w:after="100" w:afterAutospacing="1" w:line="360" w:lineRule="auto"/>
        <w:jc w:val="both"/>
        <w:rPr>
          <w:color w:val="000000"/>
        </w:rPr>
      </w:pPr>
      <w:r>
        <w:rPr>
          <w:color w:val="000000"/>
        </w:rPr>
        <w:tab/>
        <w:t xml:space="preserve">Les ponts hydrogène affaiblissent la liaison C=O, ce qui entraîne une absorption à des fréquences inférieures par rapport au monomère. Le groupe C=O, dans les acides carboxyliques </w:t>
      </w:r>
      <w:proofErr w:type="spellStart"/>
      <w:r>
        <w:rPr>
          <w:color w:val="000000"/>
        </w:rPr>
        <w:t>dimérisés</w:t>
      </w:r>
      <w:proofErr w:type="spellEnd"/>
      <w:r>
        <w:rPr>
          <w:color w:val="000000"/>
        </w:rPr>
        <w:t>, absorbe entre 1720 et 1706 cm</w:t>
      </w:r>
      <w:r>
        <w:rPr>
          <w:color w:val="000000"/>
          <w:vertAlign w:val="superscript"/>
        </w:rPr>
        <w:t>-1</w:t>
      </w:r>
      <w:r>
        <w:rPr>
          <w:color w:val="000000"/>
        </w:rPr>
        <w:t>.</w:t>
      </w:r>
    </w:p>
    <w:p w:rsidR="00C37EEF" w:rsidRDefault="00C37EEF" w:rsidP="00C37EEF">
      <w:pPr>
        <w:autoSpaceDE w:val="0"/>
        <w:autoSpaceDN w:val="0"/>
        <w:adjustRightInd w:val="0"/>
        <w:spacing w:line="360" w:lineRule="auto"/>
        <w:jc w:val="center"/>
        <w:rPr>
          <w:color w:val="000000"/>
        </w:rPr>
      </w:pPr>
      <w:r>
        <w:rPr>
          <w:noProof/>
          <w:color w:val="000000"/>
        </w:rPr>
        <w:lastRenderedPageBreak/>
        <w:drawing>
          <wp:inline distT="0" distB="0" distL="0" distR="0">
            <wp:extent cx="5762625" cy="2790825"/>
            <wp:effectExtent l="19050" t="0" r="9525" b="0"/>
            <wp:docPr id="508" name="Image 5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8"/>
                    <pic:cNvPicPr>
                      <a:picLocks noChangeAspect="1" noChangeArrowheads="1"/>
                    </pic:cNvPicPr>
                  </pic:nvPicPr>
                  <pic:blipFill>
                    <a:blip r:embed="rId62" cstate="print"/>
                    <a:srcRect/>
                    <a:stretch>
                      <a:fillRect/>
                    </a:stretch>
                  </pic:blipFill>
                  <pic:spPr bwMode="auto">
                    <a:xfrm>
                      <a:off x="0" y="0"/>
                      <a:ext cx="5762625" cy="2790825"/>
                    </a:xfrm>
                    <a:prstGeom prst="rect">
                      <a:avLst/>
                    </a:prstGeom>
                    <a:noFill/>
                    <a:ln w="9525">
                      <a:noFill/>
                      <a:miter lim="800000"/>
                      <a:headEnd/>
                      <a:tailEnd/>
                    </a:ln>
                  </pic:spPr>
                </pic:pic>
              </a:graphicData>
            </a:graphic>
          </wp:inline>
        </w:drawing>
      </w:r>
    </w:p>
    <w:p w:rsidR="00C37EEF" w:rsidRDefault="00C37EEF" w:rsidP="00C37EEF">
      <w:pPr>
        <w:autoSpaceDE w:val="0"/>
        <w:autoSpaceDN w:val="0"/>
        <w:adjustRightInd w:val="0"/>
        <w:spacing w:line="360" w:lineRule="auto"/>
        <w:jc w:val="center"/>
        <w:rPr>
          <w:color w:val="000000"/>
        </w:rPr>
      </w:pPr>
      <w:r>
        <w:rPr>
          <w:color w:val="000000"/>
        </w:rPr>
        <w:t xml:space="preserve">Figure 12 : Spectre IR de l’acide </w:t>
      </w:r>
      <w:proofErr w:type="spellStart"/>
      <w:r>
        <w:rPr>
          <w:color w:val="000000"/>
        </w:rPr>
        <w:t>heptanoïque</w:t>
      </w:r>
      <w:proofErr w:type="spellEnd"/>
      <w:r>
        <w:rPr>
          <w:color w:val="000000"/>
        </w:rPr>
        <w:t>.</w:t>
      </w:r>
    </w:p>
    <w:p w:rsidR="00C37EEF" w:rsidRDefault="00C37EEF" w:rsidP="00C37EEF">
      <w:pPr>
        <w:autoSpaceDE w:val="0"/>
        <w:autoSpaceDN w:val="0"/>
        <w:adjustRightInd w:val="0"/>
        <w:spacing w:line="360" w:lineRule="auto"/>
        <w:jc w:val="center"/>
        <w:rPr>
          <w:color w:val="000000"/>
        </w:rPr>
      </w:pPr>
    </w:p>
    <w:p w:rsidR="00C37EEF" w:rsidRDefault="00C37EEF" w:rsidP="00C37EEF">
      <w:pPr>
        <w:autoSpaceDE w:val="0"/>
        <w:autoSpaceDN w:val="0"/>
        <w:adjustRightInd w:val="0"/>
        <w:spacing w:line="360" w:lineRule="auto"/>
        <w:jc w:val="both"/>
        <w:rPr>
          <w:color w:val="000000"/>
        </w:rPr>
      </w:pPr>
      <w:r>
        <w:rPr>
          <w:color w:val="000000"/>
        </w:rPr>
        <w:t>Bande large d’élongation O-H, 3300 à 2500 cm</w:t>
      </w:r>
      <w:r>
        <w:rPr>
          <w:color w:val="000000"/>
          <w:vertAlign w:val="superscript"/>
        </w:rPr>
        <w:t>-1</w:t>
      </w:r>
      <w:r>
        <w:rPr>
          <w:color w:val="000000"/>
        </w:rPr>
        <w:t>. Elongation C-H, 2969, 2933 et 2855cm</w:t>
      </w:r>
      <w:r>
        <w:rPr>
          <w:color w:val="000000"/>
          <w:vertAlign w:val="superscript"/>
        </w:rPr>
        <w:t>-1</w:t>
      </w:r>
      <w:r>
        <w:rPr>
          <w:color w:val="000000"/>
        </w:rPr>
        <w:t>. Superposé à L’élongation O-H. Elongation C=O normale du dimère carboxylique, 1711 cm</w:t>
      </w:r>
      <w:r>
        <w:rPr>
          <w:color w:val="000000"/>
          <w:vertAlign w:val="superscript"/>
        </w:rPr>
        <w:t>-1</w:t>
      </w:r>
      <w:r>
        <w:rPr>
          <w:color w:val="000000"/>
        </w:rPr>
        <w:t>. Déformation angulaire dans le plan de C-O-H, 1413 cm</w:t>
      </w:r>
      <w:r>
        <w:rPr>
          <w:color w:val="000000"/>
          <w:vertAlign w:val="superscript"/>
        </w:rPr>
        <w:t>-1</w:t>
      </w:r>
      <w:r>
        <w:rPr>
          <w:color w:val="000000"/>
        </w:rPr>
        <w:t>. Elongation C-O, dimère, 1285 cm</w:t>
      </w:r>
      <w:r>
        <w:rPr>
          <w:color w:val="000000"/>
          <w:vertAlign w:val="superscript"/>
        </w:rPr>
        <w:t>-1</w:t>
      </w:r>
      <w:r>
        <w:rPr>
          <w:color w:val="000000"/>
        </w:rPr>
        <w:t xml:space="preserve">. Déformation angulaire hors du plan </w:t>
      </w:r>
      <w:proofErr w:type="gramStart"/>
      <w:r>
        <w:rPr>
          <w:color w:val="000000"/>
        </w:rPr>
        <w:t>de O-H</w:t>
      </w:r>
      <w:proofErr w:type="gramEnd"/>
      <w:r>
        <w:rPr>
          <w:color w:val="000000"/>
        </w:rPr>
        <w:t>, 938 cm</w:t>
      </w:r>
      <w:r>
        <w:rPr>
          <w:color w:val="000000"/>
          <w:vertAlign w:val="superscript"/>
        </w:rPr>
        <w:t>-1</w:t>
      </w:r>
      <w:r>
        <w:rPr>
          <w:color w:val="000000"/>
        </w:rPr>
        <w:t>.</w:t>
      </w:r>
    </w:p>
    <w:p w:rsidR="00C37EEF" w:rsidRDefault="00C37EEF" w:rsidP="00C37EEF">
      <w:pPr>
        <w:autoSpaceDE w:val="0"/>
        <w:autoSpaceDN w:val="0"/>
        <w:adjustRightInd w:val="0"/>
        <w:spacing w:line="360" w:lineRule="auto"/>
        <w:jc w:val="both"/>
        <w:rPr>
          <w:color w:val="000000"/>
        </w:rPr>
      </w:pPr>
    </w:p>
    <w:p w:rsidR="00C37EEF" w:rsidRDefault="00C37EEF" w:rsidP="00C37EEF">
      <w:pPr>
        <w:autoSpaceDE w:val="0"/>
        <w:autoSpaceDN w:val="0"/>
        <w:adjustRightInd w:val="0"/>
        <w:spacing w:line="360" w:lineRule="auto"/>
        <w:jc w:val="both"/>
        <w:rPr>
          <w:b/>
          <w:bCs/>
          <w:color w:val="000000"/>
          <w:sz w:val="28"/>
          <w:szCs w:val="28"/>
        </w:rPr>
      </w:pPr>
      <w:r>
        <w:rPr>
          <w:b/>
          <w:bCs/>
          <w:color w:val="000000"/>
          <w:sz w:val="28"/>
          <w:szCs w:val="28"/>
        </w:rPr>
        <w:t>VI</w:t>
      </w:r>
      <w:r w:rsidRPr="00C165D3">
        <w:rPr>
          <w:b/>
          <w:bCs/>
          <w:color w:val="000000"/>
          <w:sz w:val="28"/>
          <w:szCs w:val="28"/>
        </w:rPr>
        <w:t xml:space="preserve"> – LES ESTERS</w:t>
      </w:r>
    </w:p>
    <w:p w:rsidR="00C37EEF" w:rsidRDefault="00C37EEF" w:rsidP="00C37EEF">
      <w:pPr>
        <w:autoSpaceDE w:val="0"/>
        <w:autoSpaceDN w:val="0"/>
        <w:adjustRightInd w:val="0"/>
        <w:spacing w:line="360" w:lineRule="auto"/>
        <w:jc w:val="both"/>
        <w:rPr>
          <w:color w:val="000000"/>
        </w:rPr>
      </w:pPr>
      <w:r>
        <w:rPr>
          <w:color w:val="000000"/>
        </w:rPr>
        <w:tab/>
        <w:t xml:space="preserve">Les bandes les plus intenses et les plus caractéristiques des esters sont </w:t>
      </w:r>
      <w:r>
        <w:rPr>
          <w:color w:val="000000"/>
        </w:rPr>
        <w:sym w:font="Symbol" w:char="F06E"/>
      </w:r>
      <w:r>
        <w:rPr>
          <w:color w:val="000000"/>
          <w:vertAlign w:val="subscript"/>
        </w:rPr>
        <w:t>C=O</w:t>
      </w:r>
      <w:r>
        <w:rPr>
          <w:color w:val="000000"/>
        </w:rPr>
        <w:t xml:space="preserve"> et </w:t>
      </w:r>
      <w:r>
        <w:rPr>
          <w:color w:val="000000"/>
        </w:rPr>
        <w:sym w:font="Symbol" w:char="F06E"/>
      </w:r>
      <w:r>
        <w:rPr>
          <w:color w:val="000000"/>
          <w:vertAlign w:val="subscript"/>
        </w:rPr>
        <w:t>C-</w:t>
      </w:r>
      <w:r w:rsidRPr="008C4037">
        <w:rPr>
          <w:color w:val="000000"/>
          <w:vertAlign w:val="subscript"/>
        </w:rPr>
        <w:t>O</w:t>
      </w:r>
      <w:r>
        <w:rPr>
          <w:color w:val="000000"/>
        </w:rPr>
        <w:t xml:space="preserve"> dites aussi </w:t>
      </w:r>
      <w:r>
        <w:rPr>
          <w:color w:val="000000"/>
        </w:rPr>
        <w:sym w:font="Symbol" w:char="F06E"/>
      </w:r>
      <w:proofErr w:type="spellStart"/>
      <w:r>
        <w:rPr>
          <w:color w:val="000000"/>
          <w:vertAlign w:val="subscript"/>
        </w:rPr>
        <w:t>aCOC</w:t>
      </w:r>
      <w:proofErr w:type="spellEnd"/>
      <w:r>
        <w:rPr>
          <w:color w:val="000000"/>
        </w:rPr>
        <w:t xml:space="preserve">. La bande d’absorption C=O des esters aliphatiques saturés (sauf les formates  </w:t>
      </w:r>
      <w:r>
        <w:rPr>
          <w:color w:val="000000"/>
        </w:rPr>
        <w:sym w:font="Symbol" w:char="F06E"/>
      </w:r>
      <w:r>
        <w:rPr>
          <w:color w:val="000000"/>
          <w:vertAlign w:val="subscript"/>
        </w:rPr>
        <w:t>C=O</w:t>
      </w:r>
      <w:r>
        <w:rPr>
          <w:color w:val="000000"/>
        </w:rPr>
        <w:t> : 1730-1715 cm</w:t>
      </w:r>
      <w:r>
        <w:rPr>
          <w:color w:val="000000"/>
          <w:vertAlign w:val="superscript"/>
        </w:rPr>
        <w:t>-1</w:t>
      </w:r>
      <w:r>
        <w:rPr>
          <w:color w:val="000000"/>
        </w:rPr>
        <w:t>) se situe entre 1750 et 1735 cm</w:t>
      </w:r>
      <w:r>
        <w:rPr>
          <w:color w:val="000000"/>
          <w:vertAlign w:val="superscript"/>
        </w:rPr>
        <w:t>-1</w:t>
      </w:r>
      <w:r>
        <w:rPr>
          <w:color w:val="000000"/>
        </w:rPr>
        <w:t>. Une conjugaison supplémentaire n’a que peu d’effet sur la fréquence d’absorption du carbonyle. Les vibrations d’élongation C-O des esters consistent en deux vibrations asymétriques couplées : C-</w:t>
      </w:r>
      <w:proofErr w:type="gramStart"/>
      <w:r>
        <w:rPr>
          <w:color w:val="000000"/>
        </w:rPr>
        <w:t>C(</w:t>
      </w:r>
      <w:proofErr w:type="gramEnd"/>
      <w:r>
        <w:rPr>
          <w:color w:val="000000"/>
        </w:rPr>
        <w:t>=O)-O et O-C-C, apparaissant entre 1300 et 1000 cm</w:t>
      </w:r>
      <w:r>
        <w:rPr>
          <w:color w:val="000000"/>
          <w:vertAlign w:val="superscript"/>
        </w:rPr>
        <w:t>-1</w:t>
      </w:r>
      <w:r>
        <w:rPr>
          <w:color w:val="000000"/>
        </w:rPr>
        <w:t>, la première étant plus importante. Les vibrations symétriques correspondantes, se situant vers 1050 cm</w:t>
      </w:r>
      <w:r>
        <w:rPr>
          <w:color w:val="000000"/>
          <w:vertAlign w:val="superscript"/>
        </w:rPr>
        <w:t>-1</w:t>
      </w:r>
      <w:r>
        <w:rPr>
          <w:color w:val="000000"/>
        </w:rPr>
        <w:t>, sont de moindre importance.</w:t>
      </w:r>
    </w:p>
    <w:p w:rsidR="00C37EEF" w:rsidRDefault="00C37EEF" w:rsidP="00C37EEF">
      <w:pPr>
        <w:autoSpaceDE w:val="0"/>
        <w:autoSpaceDN w:val="0"/>
        <w:adjustRightInd w:val="0"/>
        <w:spacing w:line="360" w:lineRule="auto"/>
        <w:jc w:val="center"/>
        <w:rPr>
          <w:color w:val="000000"/>
        </w:rPr>
      </w:pPr>
      <w:r>
        <w:rPr>
          <w:noProof/>
          <w:color w:val="000000"/>
        </w:rPr>
        <w:lastRenderedPageBreak/>
        <w:drawing>
          <wp:inline distT="0" distB="0" distL="0" distR="0">
            <wp:extent cx="5753100" cy="2800350"/>
            <wp:effectExtent l="19050" t="0" r="0" b="0"/>
            <wp:docPr id="509" name="Image 5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9"/>
                    <pic:cNvPicPr>
                      <a:picLocks noChangeAspect="1" noChangeArrowheads="1"/>
                    </pic:cNvPicPr>
                  </pic:nvPicPr>
                  <pic:blipFill>
                    <a:blip r:embed="rId63" cstate="print"/>
                    <a:srcRect/>
                    <a:stretch>
                      <a:fillRect/>
                    </a:stretch>
                  </pic:blipFill>
                  <pic:spPr bwMode="auto">
                    <a:xfrm>
                      <a:off x="0" y="0"/>
                      <a:ext cx="5753100" cy="2800350"/>
                    </a:xfrm>
                    <a:prstGeom prst="rect">
                      <a:avLst/>
                    </a:prstGeom>
                    <a:noFill/>
                    <a:ln w="9525">
                      <a:noFill/>
                      <a:miter lim="800000"/>
                      <a:headEnd/>
                      <a:tailEnd/>
                    </a:ln>
                  </pic:spPr>
                </pic:pic>
              </a:graphicData>
            </a:graphic>
          </wp:inline>
        </w:drawing>
      </w:r>
    </w:p>
    <w:p w:rsidR="00C37EEF" w:rsidRDefault="00C37EEF" w:rsidP="00C37EEF">
      <w:pPr>
        <w:autoSpaceDE w:val="0"/>
        <w:autoSpaceDN w:val="0"/>
        <w:adjustRightInd w:val="0"/>
        <w:spacing w:line="360" w:lineRule="auto"/>
        <w:jc w:val="center"/>
        <w:rPr>
          <w:color w:val="000000"/>
        </w:rPr>
      </w:pPr>
      <w:r>
        <w:rPr>
          <w:color w:val="000000"/>
        </w:rPr>
        <w:t>Figure 13: Spectre IR de l’acétate de phényle.</w:t>
      </w:r>
    </w:p>
    <w:p w:rsidR="00C37EEF" w:rsidRDefault="00C37EEF" w:rsidP="00C37EEF">
      <w:pPr>
        <w:autoSpaceDE w:val="0"/>
        <w:autoSpaceDN w:val="0"/>
        <w:adjustRightInd w:val="0"/>
        <w:spacing w:line="360" w:lineRule="auto"/>
        <w:jc w:val="center"/>
        <w:rPr>
          <w:color w:val="000000"/>
        </w:rPr>
      </w:pPr>
    </w:p>
    <w:p w:rsidR="00C37EEF" w:rsidRDefault="00C37EEF" w:rsidP="00C37EEF">
      <w:pPr>
        <w:autoSpaceDE w:val="0"/>
        <w:autoSpaceDN w:val="0"/>
        <w:adjustRightInd w:val="0"/>
        <w:spacing w:line="360" w:lineRule="auto"/>
        <w:ind w:left="360"/>
        <w:jc w:val="both"/>
        <w:rPr>
          <w:color w:val="000000"/>
          <w:vertAlign w:val="superscript"/>
          <w:lang w:val="pt-BR"/>
        </w:rPr>
      </w:pPr>
      <w:r>
        <w:rPr>
          <w:color w:val="000000"/>
        </w:rPr>
        <w:t xml:space="preserve"> Elongation C-H aromatique, 3068 et 3044 cm</w:t>
      </w:r>
      <w:r>
        <w:rPr>
          <w:color w:val="000000"/>
          <w:vertAlign w:val="superscript"/>
        </w:rPr>
        <w:t>-1</w:t>
      </w:r>
      <w:r>
        <w:rPr>
          <w:color w:val="000000"/>
        </w:rPr>
        <w:t>. Elongation C=O, 1765 cm</w:t>
      </w:r>
      <w:r>
        <w:rPr>
          <w:color w:val="000000"/>
          <w:vertAlign w:val="superscript"/>
        </w:rPr>
        <w:t>-1 </w:t>
      </w:r>
      <w:r>
        <w:rPr>
          <w:color w:val="000000"/>
        </w:rPr>
        <w:t>; c’est une fréquence plus grande que celle du C=O d’un ester normal (</w:t>
      </w:r>
      <w:r>
        <w:rPr>
          <w:color w:val="000000"/>
        </w:rPr>
        <w:sym w:font="Symbol" w:char="F07E"/>
      </w:r>
      <w:r>
        <w:rPr>
          <w:color w:val="000000"/>
        </w:rPr>
        <w:t xml:space="preserve"> 1740 cm</w:t>
      </w:r>
      <w:r>
        <w:rPr>
          <w:color w:val="000000"/>
          <w:vertAlign w:val="superscript"/>
        </w:rPr>
        <w:t>-1</w:t>
      </w:r>
      <w:r>
        <w:rPr>
          <w:color w:val="000000"/>
        </w:rPr>
        <w:t>), ceci est dû à la conjugaison du phényle avec l’oxygène sp</w:t>
      </w:r>
      <w:r>
        <w:rPr>
          <w:color w:val="000000"/>
          <w:vertAlign w:val="superscript"/>
        </w:rPr>
        <w:t>3</w:t>
      </w:r>
      <w:r w:rsidRPr="00AD4887">
        <w:t>;</w:t>
      </w:r>
      <w:r>
        <w:rPr>
          <w:color w:val="000000"/>
        </w:rPr>
        <w:t xml:space="preserve"> la conjugaison d’un groupe alkyle ou d’autres </w:t>
      </w:r>
      <w:proofErr w:type="spellStart"/>
      <w:r>
        <w:rPr>
          <w:color w:val="000000"/>
        </w:rPr>
        <w:t>insaturations</w:t>
      </w:r>
      <w:proofErr w:type="spellEnd"/>
      <w:r>
        <w:rPr>
          <w:color w:val="000000"/>
        </w:rPr>
        <w:t xml:space="preserve"> avec le groupe carbonyle donne une élongation C=O inférieure à la fréquence normale (par exemple le benzoate absorbe vers 1724 cm</w:t>
      </w:r>
      <w:r>
        <w:rPr>
          <w:color w:val="000000"/>
          <w:vertAlign w:val="superscript"/>
        </w:rPr>
        <w:t>-1</w:t>
      </w:r>
      <w:r>
        <w:rPr>
          <w:color w:val="000000"/>
        </w:rPr>
        <w:t>. Elongation du vibrateur C=C cyclique, 1594 cm</w:t>
      </w:r>
      <w:r>
        <w:rPr>
          <w:color w:val="000000"/>
          <w:vertAlign w:val="superscript"/>
        </w:rPr>
        <w:t>-1</w:t>
      </w:r>
      <w:r>
        <w:rPr>
          <w:color w:val="000000"/>
        </w:rPr>
        <w:t>, 1493, 1456</w:t>
      </w:r>
      <w:r w:rsidRPr="002026EB">
        <w:rPr>
          <w:color w:val="000000"/>
        </w:rPr>
        <w:t xml:space="preserve"> </w:t>
      </w:r>
      <w:r>
        <w:rPr>
          <w:color w:val="000000"/>
        </w:rPr>
        <w:t>cm</w:t>
      </w:r>
      <w:r>
        <w:rPr>
          <w:color w:val="000000"/>
          <w:vertAlign w:val="superscript"/>
        </w:rPr>
        <w:t>-1</w:t>
      </w:r>
      <w:r>
        <w:rPr>
          <w:color w:val="000000"/>
        </w:rPr>
        <w:t>.</w:t>
      </w:r>
      <w:r>
        <w:rPr>
          <w:color w:val="000000"/>
        </w:rPr>
        <w:sym w:font="Symbol" w:char="F064"/>
      </w:r>
      <w:r>
        <w:rPr>
          <w:color w:val="000000"/>
          <w:vertAlign w:val="subscript"/>
        </w:rPr>
        <w:t>a</w:t>
      </w:r>
      <w:r>
        <w:rPr>
          <w:color w:val="000000"/>
        </w:rPr>
        <w:t>CH</w:t>
      </w:r>
      <w:r>
        <w:rPr>
          <w:color w:val="000000"/>
          <w:vertAlign w:val="subscript"/>
        </w:rPr>
        <w:t>3</w:t>
      </w:r>
      <w:r>
        <w:rPr>
          <w:color w:val="000000"/>
        </w:rPr>
        <w:t>, 1493 cm</w:t>
      </w:r>
      <w:r>
        <w:rPr>
          <w:color w:val="000000"/>
          <w:vertAlign w:val="superscript"/>
        </w:rPr>
        <w:t>-1</w:t>
      </w:r>
      <w:r>
        <w:rPr>
          <w:color w:val="000000"/>
        </w:rPr>
        <w:t>.</w:t>
      </w:r>
      <w:r w:rsidRPr="00206E4C">
        <w:rPr>
          <w:color w:val="000000"/>
          <w:lang w:val="pt-BR"/>
        </w:rPr>
        <w:t xml:space="preserve"> </w:t>
      </w:r>
      <w:r>
        <w:rPr>
          <w:color w:val="000000"/>
        </w:rPr>
        <w:sym w:font="Symbol" w:char="F064"/>
      </w:r>
      <w:r w:rsidRPr="00230962">
        <w:rPr>
          <w:color w:val="000000"/>
          <w:vertAlign w:val="subscript"/>
          <w:lang w:val="pt-BR"/>
        </w:rPr>
        <w:t>s</w:t>
      </w:r>
      <w:r w:rsidRPr="00230962">
        <w:rPr>
          <w:color w:val="000000"/>
          <w:lang w:val="pt-BR"/>
        </w:rPr>
        <w:t>CH</w:t>
      </w:r>
      <w:r w:rsidRPr="00230962">
        <w:rPr>
          <w:color w:val="000000"/>
          <w:vertAlign w:val="subscript"/>
          <w:lang w:val="pt-BR"/>
        </w:rPr>
        <w:t>3</w:t>
      </w:r>
      <w:r w:rsidRPr="00230962">
        <w:rPr>
          <w:color w:val="000000"/>
          <w:lang w:val="pt-BR"/>
        </w:rPr>
        <w:t>, 1371 cm</w:t>
      </w:r>
      <w:r w:rsidRPr="00230962">
        <w:rPr>
          <w:color w:val="000000"/>
          <w:vertAlign w:val="superscript"/>
          <w:lang w:val="pt-BR"/>
        </w:rPr>
        <w:t>-1</w:t>
      </w:r>
      <w:r w:rsidRPr="00230962">
        <w:rPr>
          <w:color w:val="000000"/>
          <w:lang w:val="pt-BR"/>
        </w:rPr>
        <w:t>. Elongation CC(=O)-O, 121</w:t>
      </w:r>
      <w:r>
        <w:rPr>
          <w:color w:val="000000"/>
          <w:lang w:val="pt-BR"/>
        </w:rPr>
        <w:t>6</w:t>
      </w:r>
      <w:r w:rsidRPr="00230962">
        <w:rPr>
          <w:color w:val="000000"/>
          <w:lang w:val="pt-BR"/>
        </w:rPr>
        <w:t xml:space="preserve"> cm</w:t>
      </w:r>
      <w:r w:rsidRPr="00230962">
        <w:rPr>
          <w:color w:val="000000"/>
          <w:vertAlign w:val="superscript"/>
          <w:lang w:val="pt-BR"/>
        </w:rPr>
        <w:t>-1</w:t>
      </w:r>
      <w:r w:rsidRPr="00230962">
        <w:rPr>
          <w:color w:val="000000"/>
          <w:lang w:val="pt-BR"/>
        </w:rPr>
        <w:t>.</w:t>
      </w:r>
      <w:r>
        <w:rPr>
          <w:color w:val="000000"/>
          <w:lang w:val="pt-BR"/>
        </w:rPr>
        <w:t xml:space="preserve"> </w:t>
      </w:r>
      <w:r>
        <w:rPr>
          <w:color w:val="000000"/>
        </w:rPr>
        <w:t>Elongation asymétrique de O-C=C, 1194 cm</w:t>
      </w:r>
      <w:r>
        <w:rPr>
          <w:color w:val="000000"/>
          <w:vertAlign w:val="superscript"/>
        </w:rPr>
        <w:t>-1</w:t>
      </w:r>
      <w:r>
        <w:rPr>
          <w:color w:val="000000"/>
        </w:rPr>
        <w:t>.</w:t>
      </w:r>
      <w:r w:rsidRPr="00230962">
        <w:rPr>
          <w:color w:val="000000"/>
          <w:vertAlign w:val="superscript"/>
          <w:lang w:val="pt-BR"/>
        </w:rPr>
        <w:t> </w:t>
      </w:r>
    </w:p>
    <w:p w:rsidR="00C37EEF" w:rsidRPr="00C37EEF" w:rsidRDefault="00C37EEF">
      <w:pPr>
        <w:rPr>
          <w:lang w:val="pt-BR"/>
        </w:rPr>
      </w:pPr>
    </w:p>
    <w:sectPr w:rsidR="00C37EEF" w:rsidRPr="00C37EEF" w:rsidSect="00AA32EE">
      <w:headerReference w:type="even" r:id="rId64"/>
      <w:headerReference w:type="default" r:id="rId65"/>
      <w:footerReference w:type="even" r:id="rId66"/>
      <w:footerReference w:type="default" r:id="rId67"/>
      <w:pgSz w:w="11906" w:h="16838"/>
      <w:pgMar w:top="1418" w:right="1418" w:bottom="1418" w:left="1418" w:header="709" w:footer="709" w:gutter="0"/>
      <w:pgNumType w:fmt="numberInDash"/>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B68D7" w:rsidRDefault="006B68D7" w:rsidP="00C37EEF">
      <w:r>
        <w:separator/>
      </w:r>
    </w:p>
  </w:endnote>
  <w:endnote w:type="continuationSeparator" w:id="0">
    <w:p w:rsidR="006B68D7" w:rsidRDefault="006B68D7" w:rsidP="00C37EEF">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imesNewRomanPSMT">
    <w:panose1 w:val="00000000000000000000"/>
    <w:charset w:val="00"/>
    <w:family w:val="roman"/>
    <w:notTrueType/>
    <w:pitch w:val="default"/>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Lucida Handwriting">
    <w:panose1 w:val="03010101010101010101"/>
    <w:charset w:val="00"/>
    <w:family w:val="script"/>
    <w:pitch w:val="variable"/>
    <w:sig w:usb0="00000003" w:usb1="00000000" w:usb2="00000000" w:usb3="00000000" w:csb0="00000001" w:csb1="00000000"/>
  </w:font>
  <w:font w:name="DecoType Naskh Variants">
    <w:altName w:val="Times New Roman"/>
    <w:charset w:val="B2"/>
    <w:family w:val="auto"/>
    <w:pitch w:val="variable"/>
    <w:sig w:usb0="00002000" w:usb1="00000000" w:usb2="00000000" w:usb3="00000000" w:csb0="00000040" w:csb1="00000000"/>
  </w:font>
  <w:font w:name="Tahoma">
    <w:panose1 w:val="020B0604030504040204"/>
    <w:charset w:val="00"/>
    <w:family w:val="swiss"/>
    <w:pitch w:val="variable"/>
    <w:sig w:usb0="E1002EFF" w:usb1="C000605B" w:usb2="00000029" w:usb3="00000000" w:csb0="000101FF" w:csb1="00000000"/>
  </w:font>
  <w:font w:name="Book Antiqua">
    <w:panose1 w:val="02040602050305030304"/>
    <w:charset w:val="00"/>
    <w:family w:val="roman"/>
    <w:pitch w:val="variable"/>
    <w:sig w:usb0="00000287" w:usb1="00000000" w:usb2="00000000" w:usb3="00000000" w:csb0="0000009F" w:csb1="00000000"/>
  </w:font>
  <w:font w:name="SymbolPS">
    <w:altName w:val="Symbol"/>
    <w:charset w:val="02"/>
    <w:family w:val="roman"/>
    <w:pitch w:val="variable"/>
    <w:sig w:usb0="00000000" w:usb1="10000000" w:usb2="00000000" w:usb3="00000000" w:csb0="80000000" w:csb1="00000000"/>
  </w:font>
  <w:font w:name="Comic Sans MS">
    <w:panose1 w:val="030F0702030302020204"/>
    <w:charset w:val="00"/>
    <w:family w:val="script"/>
    <w:pitch w:val="variable"/>
    <w:sig w:usb0="00000287" w:usb1="00000000"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34F62" w:rsidRDefault="00634F62" w:rsidP="00AA32EE">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end"/>
    </w:r>
  </w:p>
  <w:p w:rsidR="00634F62" w:rsidRDefault="00634F62" w:rsidP="00AA32EE">
    <w:pPr>
      <w:pStyle w:val="Pieddepage"/>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34F62" w:rsidRDefault="00634F62" w:rsidP="00AA32EE">
    <w:pPr>
      <w:pStyle w:val="Pieddepage"/>
      <w:rPr>
        <w:rStyle w:val="Numrodepage"/>
        <w:b/>
        <w:bCs/>
        <w:sz w:val="16"/>
        <w:szCs w:val="16"/>
      </w:rPr>
    </w:pPr>
    <w:r>
      <w:rPr>
        <w:rStyle w:val="Numrodepage"/>
        <w:b/>
        <w:bCs/>
        <w:sz w:val="16"/>
        <w:szCs w:val="16"/>
      </w:rPr>
      <w:t>_________________________________________________________________________________________________________________</w:t>
    </w:r>
  </w:p>
  <w:p w:rsidR="00DD6C30" w:rsidRPr="00DD6C30" w:rsidRDefault="00634F62" w:rsidP="00DD6C30">
    <w:pPr>
      <w:ind w:right="-186"/>
      <w:jc w:val="center"/>
      <w:rPr>
        <w:rFonts w:ascii="Comic Sans MS" w:hAnsi="Comic Sans MS"/>
        <w:sz w:val="16"/>
        <w:szCs w:val="16"/>
      </w:rPr>
    </w:pPr>
    <w:r w:rsidRPr="001C2D2A">
      <w:rPr>
        <w:rStyle w:val="Numrodepage"/>
        <w:b/>
        <w:bCs/>
        <w:sz w:val="16"/>
        <w:szCs w:val="16"/>
      </w:rPr>
      <w:t>U</w:t>
    </w:r>
    <w:r>
      <w:rPr>
        <w:rStyle w:val="Numrodepage"/>
        <w:b/>
        <w:bCs/>
        <w:sz w:val="16"/>
        <w:szCs w:val="16"/>
      </w:rPr>
      <w:t>.</w:t>
    </w:r>
    <w:r w:rsidRPr="001C2D2A">
      <w:rPr>
        <w:rStyle w:val="Numrodepage"/>
        <w:b/>
        <w:bCs/>
        <w:sz w:val="16"/>
        <w:szCs w:val="16"/>
      </w:rPr>
      <w:t>M</w:t>
    </w:r>
    <w:r>
      <w:rPr>
        <w:rStyle w:val="Numrodepage"/>
        <w:b/>
        <w:bCs/>
        <w:sz w:val="16"/>
        <w:szCs w:val="16"/>
      </w:rPr>
      <w:t>.</w:t>
    </w:r>
    <w:r w:rsidRPr="001C2D2A">
      <w:rPr>
        <w:rStyle w:val="Numrodepage"/>
        <w:b/>
        <w:bCs/>
        <w:sz w:val="16"/>
        <w:szCs w:val="16"/>
      </w:rPr>
      <w:t xml:space="preserve"> V </w:t>
    </w:r>
    <w:r>
      <w:rPr>
        <w:rStyle w:val="Numrodepage"/>
        <w:b/>
        <w:bCs/>
        <w:sz w:val="16"/>
        <w:szCs w:val="16"/>
      </w:rPr>
      <w:t xml:space="preserve"> </w:t>
    </w:r>
    <w:r w:rsidRPr="001C2D2A">
      <w:rPr>
        <w:rStyle w:val="Numrodepage"/>
        <w:b/>
        <w:bCs/>
        <w:sz w:val="16"/>
        <w:szCs w:val="16"/>
      </w:rPr>
      <w:t>/</w:t>
    </w:r>
    <w:r>
      <w:rPr>
        <w:rStyle w:val="Numrodepage"/>
        <w:b/>
        <w:bCs/>
        <w:sz w:val="16"/>
        <w:szCs w:val="16"/>
      </w:rPr>
      <w:t xml:space="preserve"> FSR</w:t>
    </w:r>
    <w:r w:rsidRPr="001C2D2A">
      <w:rPr>
        <w:rStyle w:val="Numrodepage"/>
        <w:b/>
        <w:bCs/>
        <w:sz w:val="16"/>
        <w:szCs w:val="16"/>
      </w:rPr>
      <w:t>/</w:t>
    </w:r>
    <w:r>
      <w:rPr>
        <w:rStyle w:val="Numrodepage"/>
        <w:b/>
        <w:bCs/>
        <w:sz w:val="16"/>
        <w:szCs w:val="16"/>
      </w:rPr>
      <w:t xml:space="preserve"> </w:t>
    </w:r>
    <w:r w:rsidR="00DD6C30" w:rsidRPr="00DD6C30">
      <w:rPr>
        <w:rFonts w:ascii="Comic Sans MS" w:hAnsi="Comic Sans MS"/>
        <w:sz w:val="16"/>
        <w:szCs w:val="16"/>
      </w:rPr>
      <w:t xml:space="preserve">Master </w:t>
    </w:r>
    <w:r w:rsidR="00DD6C30" w:rsidRPr="00DD6C30">
      <w:rPr>
        <w:rFonts w:ascii="Comic Sans MS" w:hAnsi="Comic Sans MS"/>
        <w:sz w:val="16"/>
        <w:szCs w:val="16"/>
        <w:lang w:eastAsia="fr-CA"/>
      </w:rPr>
      <w:t>Analyse et contrôle qualité des médicaments et produits de san</w:t>
    </w:r>
    <w:r w:rsidR="00DD6C30">
      <w:rPr>
        <w:rFonts w:ascii="Comic Sans MS" w:hAnsi="Comic Sans MS"/>
        <w:sz w:val="16"/>
        <w:szCs w:val="16"/>
        <w:lang w:eastAsia="fr-CA"/>
      </w:rPr>
      <w:t>té à base de produits naturels /</w:t>
    </w:r>
  </w:p>
  <w:p w:rsidR="00634F62" w:rsidRPr="00DD6C30" w:rsidRDefault="00DD6C30" w:rsidP="00DD6C30">
    <w:pPr>
      <w:adjustRightInd w:val="0"/>
      <w:ind w:right="-139"/>
      <w:rPr>
        <w:rFonts w:ascii="Comic Sans MS" w:hAnsi="Comic Sans MS"/>
        <w:sz w:val="36"/>
        <w:szCs w:val="36"/>
      </w:rPr>
    </w:pPr>
    <w:r w:rsidRPr="00DD6C30">
      <w:rPr>
        <w:rFonts w:ascii="Comic Sans MS" w:hAnsi="Comic Sans MS"/>
        <w:sz w:val="16"/>
        <w:szCs w:val="16"/>
      </w:rPr>
      <w:t>MODULE M1 : Déterminations structurales</w:t>
    </w:r>
    <w:r w:rsidR="00634F62" w:rsidRPr="001C2D2A">
      <w:rPr>
        <w:rStyle w:val="Numrodepage"/>
        <w:b/>
        <w:bCs/>
        <w:sz w:val="16"/>
        <w:szCs w:val="16"/>
      </w:rPr>
      <w:t xml:space="preserve">/ Cours de Spectroscopie </w:t>
    </w:r>
    <w:r w:rsidR="00634F62">
      <w:rPr>
        <w:rStyle w:val="Numrodepage"/>
        <w:b/>
        <w:bCs/>
        <w:sz w:val="16"/>
        <w:szCs w:val="16"/>
      </w:rPr>
      <w:t>Infrarouge</w:t>
    </w:r>
    <w:r w:rsidR="00634F62" w:rsidRPr="009A1363">
      <w:rPr>
        <w:rStyle w:val="Numrodepage"/>
        <w:b/>
        <w:bCs/>
        <w:sz w:val="16"/>
        <w:szCs w:val="16"/>
      </w:rPr>
      <w:t>/</w:t>
    </w:r>
    <w:r w:rsidR="00634F62">
      <w:rPr>
        <w:rStyle w:val="Numrodepage"/>
        <w:b/>
        <w:bCs/>
        <w:sz w:val="16"/>
        <w:szCs w:val="16"/>
      </w:rPr>
      <w:t xml:space="preserve"> </w:t>
    </w:r>
    <w:r w:rsidR="00634F62" w:rsidRPr="001C2D2A">
      <w:rPr>
        <w:rStyle w:val="Numrodepage"/>
        <w:b/>
        <w:bCs/>
        <w:sz w:val="16"/>
        <w:szCs w:val="16"/>
      </w:rPr>
      <w:t>A. EL HAJJI</w:t>
    </w:r>
    <w:r w:rsidR="00634F62">
      <w:rPr>
        <w:b/>
        <w:bCs/>
        <w:sz w:val="16"/>
        <w:szCs w:val="16"/>
      </w:rPr>
      <w:t xml:space="preserve">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B68D7" w:rsidRDefault="006B68D7" w:rsidP="00C37EEF">
      <w:r>
        <w:separator/>
      </w:r>
    </w:p>
  </w:footnote>
  <w:footnote w:type="continuationSeparator" w:id="0">
    <w:p w:rsidR="006B68D7" w:rsidRDefault="006B68D7" w:rsidP="00C37EE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34F62" w:rsidRDefault="00634F62" w:rsidP="00AA32EE">
    <w:pPr>
      <w:pStyle w:val="En-tt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end"/>
    </w:r>
  </w:p>
  <w:p w:rsidR="00634F62" w:rsidRDefault="00634F62" w:rsidP="00AA32EE">
    <w:pPr>
      <w:pStyle w:val="En-tte"/>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34F62" w:rsidRDefault="00634F62" w:rsidP="00AA32EE">
    <w:pPr>
      <w:pStyle w:val="En-tt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separate"/>
    </w:r>
    <w:r w:rsidR="007B5448">
      <w:rPr>
        <w:rStyle w:val="Numrodepage"/>
        <w:noProof/>
      </w:rPr>
      <w:t>- 24 -</w:t>
    </w:r>
    <w:r>
      <w:rPr>
        <w:rStyle w:val="Numrodepage"/>
      </w:rPr>
      <w:fldChar w:fldCharType="end"/>
    </w:r>
  </w:p>
  <w:p w:rsidR="00634F62" w:rsidRDefault="00634F62" w:rsidP="00AA32EE">
    <w:pPr>
      <w:pStyle w:val="En-tte"/>
      <w:ind w:right="360"/>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37" type="#_x0000_t75" style="width:3in;height:3in" o:bullet="t"/>
    </w:pict>
  </w:numPicBullet>
  <w:numPicBullet w:numPicBulletId="1">
    <w:pict>
      <v:shape id="_x0000_i1138" type="#_x0000_t75" style="width:3in;height:3in" o:bullet="t"/>
    </w:pict>
  </w:numPicBullet>
  <w:numPicBullet w:numPicBulletId="2">
    <w:pict>
      <v:shape id="_x0000_i1139" type="#_x0000_t75" style="width:3in;height:3in" o:bullet="t"/>
    </w:pict>
  </w:numPicBullet>
  <w:abstractNum w:abstractNumId="0">
    <w:nsid w:val="00CF33EC"/>
    <w:multiLevelType w:val="multilevel"/>
    <w:tmpl w:val="5F3638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3CD0A62"/>
    <w:multiLevelType w:val="multilevel"/>
    <w:tmpl w:val="E9B2D6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B450741"/>
    <w:multiLevelType w:val="multilevel"/>
    <w:tmpl w:val="0C0EC6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DB30680"/>
    <w:multiLevelType w:val="multilevel"/>
    <w:tmpl w:val="2996C1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DE64A3A"/>
    <w:multiLevelType w:val="multilevel"/>
    <w:tmpl w:val="C9FEA2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34607AD5"/>
    <w:multiLevelType w:val="hybridMultilevel"/>
    <w:tmpl w:val="FD927BB8"/>
    <w:lvl w:ilvl="0" w:tplc="6EAE7FB6">
      <w:start w:val="1710"/>
      <w:numFmt w:val="decimal"/>
      <w:lvlText w:val="%1"/>
      <w:lvlJc w:val="left"/>
      <w:pPr>
        <w:tabs>
          <w:tab w:val="num" w:pos="5040"/>
        </w:tabs>
        <w:ind w:left="5040" w:hanging="3060"/>
      </w:pPr>
      <w:rPr>
        <w:rFonts w:hint="default"/>
      </w:rPr>
    </w:lvl>
    <w:lvl w:ilvl="1" w:tplc="040C0019" w:tentative="1">
      <w:start w:val="1"/>
      <w:numFmt w:val="lowerLetter"/>
      <w:lvlText w:val="%2."/>
      <w:lvlJc w:val="left"/>
      <w:pPr>
        <w:tabs>
          <w:tab w:val="num" w:pos="3060"/>
        </w:tabs>
        <w:ind w:left="3060" w:hanging="360"/>
      </w:pPr>
    </w:lvl>
    <w:lvl w:ilvl="2" w:tplc="040C001B" w:tentative="1">
      <w:start w:val="1"/>
      <w:numFmt w:val="lowerRoman"/>
      <w:lvlText w:val="%3."/>
      <w:lvlJc w:val="right"/>
      <w:pPr>
        <w:tabs>
          <w:tab w:val="num" w:pos="3780"/>
        </w:tabs>
        <w:ind w:left="3780" w:hanging="180"/>
      </w:pPr>
    </w:lvl>
    <w:lvl w:ilvl="3" w:tplc="040C000F" w:tentative="1">
      <w:start w:val="1"/>
      <w:numFmt w:val="decimal"/>
      <w:lvlText w:val="%4."/>
      <w:lvlJc w:val="left"/>
      <w:pPr>
        <w:tabs>
          <w:tab w:val="num" w:pos="4500"/>
        </w:tabs>
        <w:ind w:left="4500" w:hanging="360"/>
      </w:pPr>
    </w:lvl>
    <w:lvl w:ilvl="4" w:tplc="040C0019" w:tentative="1">
      <w:start w:val="1"/>
      <w:numFmt w:val="lowerLetter"/>
      <w:lvlText w:val="%5."/>
      <w:lvlJc w:val="left"/>
      <w:pPr>
        <w:tabs>
          <w:tab w:val="num" w:pos="5220"/>
        </w:tabs>
        <w:ind w:left="5220" w:hanging="360"/>
      </w:pPr>
    </w:lvl>
    <w:lvl w:ilvl="5" w:tplc="040C001B" w:tentative="1">
      <w:start w:val="1"/>
      <w:numFmt w:val="lowerRoman"/>
      <w:lvlText w:val="%6."/>
      <w:lvlJc w:val="right"/>
      <w:pPr>
        <w:tabs>
          <w:tab w:val="num" w:pos="5940"/>
        </w:tabs>
        <w:ind w:left="5940" w:hanging="180"/>
      </w:pPr>
    </w:lvl>
    <w:lvl w:ilvl="6" w:tplc="040C000F" w:tentative="1">
      <w:start w:val="1"/>
      <w:numFmt w:val="decimal"/>
      <w:lvlText w:val="%7."/>
      <w:lvlJc w:val="left"/>
      <w:pPr>
        <w:tabs>
          <w:tab w:val="num" w:pos="6660"/>
        </w:tabs>
        <w:ind w:left="6660" w:hanging="360"/>
      </w:pPr>
    </w:lvl>
    <w:lvl w:ilvl="7" w:tplc="040C0019" w:tentative="1">
      <w:start w:val="1"/>
      <w:numFmt w:val="lowerLetter"/>
      <w:lvlText w:val="%8."/>
      <w:lvlJc w:val="left"/>
      <w:pPr>
        <w:tabs>
          <w:tab w:val="num" w:pos="7380"/>
        </w:tabs>
        <w:ind w:left="7380" w:hanging="360"/>
      </w:pPr>
    </w:lvl>
    <w:lvl w:ilvl="8" w:tplc="040C001B" w:tentative="1">
      <w:start w:val="1"/>
      <w:numFmt w:val="lowerRoman"/>
      <w:lvlText w:val="%9."/>
      <w:lvlJc w:val="right"/>
      <w:pPr>
        <w:tabs>
          <w:tab w:val="num" w:pos="8100"/>
        </w:tabs>
        <w:ind w:left="8100" w:hanging="180"/>
      </w:pPr>
    </w:lvl>
  </w:abstractNum>
  <w:abstractNum w:abstractNumId="6">
    <w:nsid w:val="383C277E"/>
    <w:multiLevelType w:val="hybridMultilevel"/>
    <w:tmpl w:val="777430F4"/>
    <w:lvl w:ilvl="0" w:tplc="94F62E66">
      <w:start w:val="3"/>
      <w:numFmt w:val="bullet"/>
      <w:lvlText w:val="-"/>
      <w:lvlJc w:val="left"/>
      <w:pPr>
        <w:tabs>
          <w:tab w:val="num" w:pos="720"/>
        </w:tabs>
        <w:ind w:left="720" w:hanging="360"/>
      </w:pPr>
      <w:rPr>
        <w:rFonts w:ascii="Cambria" w:eastAsia="Times New Roman" w:hAnsi="Cambria" w:cs="TimesNewRomanPSMT"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nsid w:val="384D32DC"/>
    <w:multiLevelType w:val="multilevel"/>
    <w:tmpl w:val="DDE8A8C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8C75BED"/>
    <w:multiLevelType w:val="multilevel"/>
    <w:tmpl w:val="CFC096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DF1044D"/>
    <w:multiLevelType w:val="hybridMultilevel"/>
    <w:tmpl w:val="41442F94"/>
    <w:lvl w:ilvl="0" w:tplc="8E969E6C">
      <w:start w:val="1"/>
      <w:numFmt w:val="decimal"/>
      <w:lvlText w:val="%1-"/>
      <w:lvlJc w:val="left"/>
      <w:pPr>
        <w:tabs>
          <w:tab w:val="num" w:pos="720"/>
        </w:tabs>
        <w:ind w:left="720" w:hanging="360"/>
      </w:pPr>
      <w:rPr>
        <w:rFonts w:hint="default"/>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10">
    <w:nsid w:val="464C237A"/>
    <w:multiLevelType w:val="multilevel"/>
    <w:tmpl w:val="7C7C2274"/>
    <w:lvl w:ilvl="0">
      <w:start w:val="1"/>
      <w:numFmt w:val="bullet"/>
      <w:lvlText w:val=""/>
      <w:lvlPicBulletId w:val="0"/>
      <w:lvlJc w:val="left"/>
      <w:pPr>
        <w:tabs>
          <w:tab w:val="num" w:pos="720"/>
        </w:tabs>
        <w:ind w:left="720" w:hanging="360"/>
      </w:pPr>
      <w:rPr>
        <w:rFonts w:ascii="Symbol" w:hAnsi="Symbol" w:hint="default"/>
        <w:sz w:val="20"/>
      </w:rPr>
    </w:lvl>
    <w:lvl w:ilvl="1" w:tentative="1">
      <w:start w:val="1"/>
      <w:numFmt w:val="bullet"/>
      <w:lvlText w:val="o"/>
      <w:lvlPicBulletId w:val="1"/>
      <w:lvlJc w:val="left"/>
      <w:pPr>
        <w:tabs>
          <w:tab w:val="num" w:pos="1440"/>
        </w:tabs>
        <w:ind w:left="1440" w:hanging="360"/>
      </w:pPr>
      <w:rPr>
        <w:rFonts w:ascii="Courier New" w:hAnsi="Courier New" w:hint="default"/>
        <w:sz w:val="20"/>
      </w:rPr>
    </w:lvl>
    <w:lvl w:ilvl="2" w:tentative="1">
      <w:start w:val="1"/>
      <w:numFmt w:val="bullet"/>
      <w:lvlText w:val=""/>
      <w:lvlPicBulletId w:val="2"/>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4B733F7F"/>
    <w:multiLevelType w:val="multilevel"/>
    <w:tmpl w:val="6FAA67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4D585C66"/>
    <w:multiLevelType w:val="multilevel"/>
    <w:tmpl w:val="088AF8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4DBC6A94"/>
    <w:multiLevelType w:val="multilevel"/>
    <w:tmpl w:val="990E467C"/>
    <w:lvl w:ilvl="0">
      <w:start w:val="1"/>
      <w:numFmt w:val="bullet"/>
      <w:lvlText w:val=""/>
      <w:lvlJc w:val="left"/>
      <w:pPr>
        <w:tabs>
          <w:tab w:val="num" w:pos="720"/>
        </w:tabs>
        <w:ind w:left="720" w:hanging="360"/>
      </w:pPr>
      <w:rPr>
        <w:rFonts w:ascii="Symbol" w:hAnsi="Symbol" w:hint="default"/>
        <w:sz w:val="20"/>
      </w:rPr>
    </w:lvl>
    <w:lvl w:ilvl="1">
      <w:start w:val="2"/>
      <w:numFmt w:val="bullet"/>
      <w:lvlText w:val="-"/>
      <w:lvlJc w:val="left"/>
      <w:pPr>
        <w:tabs>
          <w:tab w:val="num" w:pos="1440"/>
        </w:tabs>
        <w:ind w:left="1440" w:hanging="360"/>
      </w:pPr>
      <w:rPr>
        <w:rFonts w:ascii="Times New Roman" w:eastAsia="Times New Roman" w:hAnsi="Times New Roman" w:cs="Times New Roman"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598B7466"/>
    <w:multiLevelType w:val="hybridMultilevel"/>
    <w:tmpl w:val="AEF0A3AC"/>
    <w:lvl w:ilvl="0" w:tplc="6748C81E">
      <w:start w:val="7"/>
      <w:numFmt w:val="bullet"/>
      <w:lvlText w:val="-"/>
      <w:lvlJc w:val="left"/>
      <w:pPr>
        <w:tabs>
          <w:tab w:val="num" w:pos="720"/>
        </w:tabs>
        <w:ind w:left="720" w:hanging="360"/>
      </w:pPr>
      <w:rPr>
        <w:rFonts w:ascii="TimesNewRomanPSMT" w:eastAsia="Times New Roman" w:hAnsi="TimesNewRomanPSMT" w:cs="TimesNewRomanPSMT"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5">
    <w:nsid w:val="59B6654C"/>
    <w:multiLevelType w:val="multilevel"/>
    <w:tmpl w:val="A5309E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671F6FFD"/>
    <w:multiLevelType w:val="multilevel"/>
    <w:tmpl w:val="2D00CE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78E71B25"/>
    <w:multiLevelType w:val="multilevel"/>
    <w:tmpl w:val="3A2E4C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79E05E2C"/>
    <w:multiLevelType w:val="hybridMultilevel"/>
    <w:tmpl w:val="0DA24E58"/>
    <w:lvl w:ilvl="0" w:tplc="ED5EC2E2">
      <w:start w:val="1"/>
      <w:numFmt w:val="lowerLetter"/>
      <w:lvlText w:val="%1)"/>
      <w:lvlJc w:val="left"/>
      <w:pPr>
        <w:tabs>
          <w:tab w:val="num" w:pos="1065"/>
        </w:tabs>
        <w:ind w:left="1065" w:hanging="360"/>
      </w:pPr>
      <w:rPr>
        <w:rFonts w:hint="default"/>
        <w:color w:val="000000"/>
      </w:rPr>
    </w:lvl>
    <w:lvl w:ilvl="1" w:tplc="040C0019" w:tentative="1">
      <w:start w:val="1"/>
      <w:numFmt w:val="lowerLetter"/>
      <w:lvlText w:val="%2."/>
      <w:lvlJc w:val="left"/>
      <w:pPr>
        <w:tabs>
          <w:tab w:val="num" w:pos="1785"/>
        </w:tabs>
        <w:ind w:left="1785" w:hanging="360"/>
      </w:pPr>
    </w:lvl>
    <w:lvl w:ilvl="2" w:tplc="040C001B" w:tentative="1">
      <w:start w:val="1"/>
      <w:numFmt w:val="lowerRoman"/>
      <w:lvlText w:val="%3."/>
      <w:lvlJc w:val="right"/>
      <w:pPr>
        <w:tabs>
          <w:tab w:val="num" w:pos="2505"/>
        </w:tabs>
        <w:ind w:left="2505" w:hanging="180"/>
      </w:pPr>
    </w:lvl>
    <w:lvl w:ilvl="3" w:tplc="040C000F" w:tentative="1">
      <w:start w:val="1"/>
      <w:numFmt w:val="decimal"/>
      <w:lvlText w:val="%4."/>
      <w:lvlJc w:val="left"/>
      <w:pPr>
        <w:tabs>
          <w:tab w:val="num" w:pos="3225"/>
        </w:tabs>
        <w:ind w:left="3225" w:hanging="360"/>
      </w:pPr>
    </w:lvl>
    <w:lvl w:ilvl="4" w:tplc="040C0019" w:tentative="1">
      <w:start w:val="1"/>
      <w:numFmt w:val="lowerLetter"/>
      <w:lvlText w:val="%5."/>
      <w:lvlJc w:val="left"/>
      <w:pPr>
        <w:tabs>
          <w:tab w:val="num" w:pos="3945"/>
        </w:tabs>
        <w:ind w:left="3945" w:hanging="360"/>
      </w:pPr>
    </w:lvl>
    <w:lvl w:ilvl="5" w:tplc="040C001B" w:tentative="1">
      <w:start w:val="1"/>
      <w:numFmt w:val="lowerRoman"/>
      <w:lvlText w:val="%6."/>
      <w:lvlJc w:val="right"/>
      <w:pPr>
        <w:tabs>
          <w:tab w:val="num" w:pos="4665"/>
        </w:tabs>
        <w:ind w:left="4665" w:hanging="180"/>
      </w:pPr>
    </w:lvl>
    <w:lvl w:ilvl="6" w:tplc="040C000F" w:tentative="1">
      <w:start w:val="1"/>
      <w:numFmt w:val="decimal"/>
      <w:lvlText w:val="%7."/>
      <w:lvlJc w:val="left"/>
      <w:pPr>
        <w:tabs>
          <w:tab w:val="num" w:pos="5385"/>
        </w:tabs>
        <w:ind w:left="5385" w:hanging="360"/>
      </w:pPr>
    </w:lvl>
    <w:lvl w:ilvl="7" w:tplc="040C0019" w:tentative="1">
      <w:start w:val="1"/>
      <w:numFmt w:val="lowerLetter"/>
      <w:lvlText w:val="%8."/>
      <w:lvlJc w:val="left"/>
      <w:pPr>
        <w:tabs>
          <w:tab w:val="num" w:pos="6105"/>
        </w:tabs>
        <w:ind w:left="6105" w:hanging="360"/>
      </w:pPr>
    </w:lvl>
    <w:lvl w:ilvl="8" w:tplc="040C001B" w:tentative="1">
      <w:start w:val="1"/>
      <w:numFmt w:val="lowerRoman"/>
      <w:lvlText w:val="%9."/>
      <w:lvlJc w:val="right"/>
      <w:pPr>
        <w:tabs>
          <w:tab w:val="num" w:pos="6825"/>
        </w:tabs>
        <w:ind w:left="6825" w:hanging="180"/>
      </w:pPr>
    </w:lvl>
  </w:abstractNum>
  <w:abstractNum w:abstractNumId="19">
    <w:nsid w:val="7C1A3ACF"/>
    <w:multiLevelType w:val="multilevel"/>
    <w:tmpl w:val="9286CB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7E12458D"/>
    <w:multiLevelType w:val="multilevel"/>
    <w:tmpl w:val="E9DC3A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0"/>
  </w:num>
  <w:num w:numId="2">
    <w:abstractNumId w:val="14"/>
  </w:num>
  <w:num w:numId="3">
    <w:abstractNumId w:val="16"/>
  </w:num>
  <w:num w:numId="4">
    <w:abstractNumId w:val="2"/>
  </w:num>
  <w:num w:numId="5">
    <w:abstractNumId w:val="15"/>
  </w:num>
  <w:num w:numId="6">
    <w:abstractNumId w:val="3"/>
  </w:num>
  <w:num w:numId="7">
    <w:abstractNumId w:val="0"/>
  </w:num>
  <w:num w:numId="8">
    <w:abstractNumId w:val="8"/>
  </w:num>
  <w:num w:numId="9">
    <w:abstractNumId w:val="20"/>
  </w:num>
  <w:num w:numId="10">
    <w:abstractNumId w:val="13"/>
  </w:num>
  <w:num w:numId="11">
    <w:abstractNumId w:val="11"/>
  </w:num>
  <w:num w:numId="12">
    <w:abstractNumId w:val="6"/>
  </w:num>
  <w:num w:numId="13">
    <w:abstractNumId w:val="1"/>
  </w:num>
  <w:num w:numId="14">
    <w:abstractNumId w:val="4"/>
  </w:num>
  <w:num w:numId="15">
    <w:abstractNumId w:val="12"/>
  </w:num>
  <w:num w:numId="16">
    <w:abstractNumId w:val="17"/>
  </w:num>
  <w:num w:numId="17">
    <w:abstractNumId w:val="19"/>
  </w:num>
  <w:num w:numId="18">
    <w:abstractNumId w:val="7"/>
  </w:num>
  <w:num w:numId="19">
    <w:abstractNumId w:val="9"/>
  </w:num>
  <w:num w:numId="20">
    <w:abstractNumId w:val="18"/>
  </w:num>
  <w:num w:numId="21">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C44384"/>
    <w:rsid w:val="000B5985"/>
    <w:rsid w:val="001F4997"/>
    <w:rsid w:val="002F0334"/>
    <w:rsid w:val="00302B1E"/>
    <w:rsid w:val="00387815"/>
    <w:rsid w:val="005F3DB0"/>
    <w:rsid w:val="00634F62"/>
    <w:rsid w:val="006B68D7"/>
    <w:rsid w:val="007B5448"/>
    <w:rsid w:val="008E60E8"/>
    <w:rsid w:val="00AA32EE"/>
    <w:rsid w:val="00B52743"/>
    <w:rsid w:val="00C27725"/>
    <w:rsid w:val="00C37EEF"/>
    <w:rsid w:val="00C44384"/>
    <w:rsid w:val="00DA2D65"/>
    <w:rsid w:val="00DD6C30"/>
    <w:rsid w:val="00E64DFC"/>
    <w:rsid w:val="00F161A1"/>
    <w:rsid w:val="00F6511C"/>
    <w:rsid w:val="00F66AFE"/>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Body Text 3" w:uiPriority="0"/>
    <w:lsdException w:name="Hyperlink" w:uiPriority="0"/>
    <w:lsdException w:name="Strong" w:semiHidden="0" w:uiPriority="0" w:unhideWhenUsed="0" w:qFormat="1"/>
    <w:lsdException w:name="Emphasis" w:semiHidden="0" w:uiPriority="0" w:unhideWhenUsed="0" w:qFormat="1"/>
    <w:lsdException w:name="Normal (Web)" w:uiPriority="0"/>
    <w:lsdException w:name="HTML Cite" w:uiPriority="0"/>
    <w:lsdException w:name="No Lis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44384"/>
    <w:pPr>
      <w:spacing w:after="0" w:line="240" w:lineRule="auto"/>
    </w:pPr>
    <w:rPr>
      <w:rFonts w:ascii="Times New Roman" w:eastAsia="Times New Roman" w:hAnsi="Times New Roman" w:cs="Times New Roman"/>
      <w:sz w:val="24"/>
      <w:szCs w:val="24"/>
      <w:lang w:eastAsia="fr-FR"/>
    </w:rPr>
  </w:style>
  <w:style w:type="paragraph" w:styleId="Titre1">
    <w:name w:val="heading 1"/>
    <w:basedOn w:val="Normal"/>
    <w:next w:val="Normal"/>
    <w:link w:val="Titre1Car"/>
    <w:qFormat/>
    <w:rsid w:val="00C44384"/>
    <w:pPr>
      <w:keepNext/>
      <w:spacing w:line="360" w:lineRule="auto"/>
      <w:jc w:val="both"/>
      <w:outlineLvl w:val="0"/>
    </w:pPr>
    <w:rPr>
      <w:rFonts w:ascii="Lucida Handwriting" w:hAnsi="Lucida Handwriting" w:cs="DecoType Naskh Variants"/>
      <w:b/>
      <w:bCs/>
    </w:rPr>
  </w:style>
  <w:style w:type="paragraph" w:styleId="Titre2">
    <w:name w:val="heading 2"/>
    <w:basedOn w:val="Normal"/>
    <w:next w:val="Normal"/>
    <w:link w:val="Titre2Car"/>
    <w:qFormat/>
    <w:rsid w:val="00C44384"/>
    <w:pPr>
      <w:keepNext/>
      <w:spacing w:line="360" w:lineRule="auto"/>
      <w:jc w:val="both"/>
      <w:outlineLvl w:val="1"/>
    </w:pPr>
    <w:rPr>
      <w:b/>
      <w:bCs/>
      <w:i/>
      <w:iCs/>
    </w:rPr>
  </w:style>
  <w:style w:type="paragraph" w:styleId="Titre3">
    <w:name w:val="heading 3"/>
    <w:basedOn w:val="Normal"/>
    <w:next w:val="Normal"/>
    <w:link w:val="Titre3Car"/>
    <w:qFormat/>
    <w:rsid w:val="00C44384"/>
    <w:pPr>
      <w:keepNext/>
      <w:spacing w:line="360" w:lineRule="auto"/>
      <w:jc w:val="center"/>
      <w:outlineLvl w:val="2"/>
    </w:pPr>
    <w:rPr>
      <w:b/>
      <w:bCs/>
      <w:i/>
      <w:iCs/>
    </w:rPr>
  </w:style>
  <w:style w:type="paragraph" w:styleId="Titre4">
    <w:name w:val="heading 4"/>
    <w:basedOn w:val="Normal"/>
    <w:next w:val="Normal"/>
    <w:link w:val="Titre4Car"/>
    <w:qFormat/>
    <w:rsid w:val="00C44384"/>
    <w:pPr>
      <w:keepNext/>
      <w:spacing w:before="240" w:after="60"/>
      <w:outlineLvl w:val="3"/>
    </w:pPr>
    <w:rPr>
      <w:b/>
      <w:bCs/>
      <w:sz w:val="28"/>
      <w:szCs w:val="28"/>
    </w:rPr>
  </w:style>
  <w:style w:type="paragraph" w:styleId="Titre5">
    <w:name w:val="heading 5"/>
    <w:basedOn w:val="Normal"/>
    <w:next w:val="Normal"/>
    <w:link w:val="Titre5Car"/>
    <w:qFormat/>
    <w:rsid w:val="00C44384"/>
    <w:pPr>
      <w:spacing w:before="240" w:after="60"/>
      <w:outlineLvl w:val="4"/>
    </w:pPr>
    <w:rPr>
      <w:b/>
      <w:bCs/>
      <w:i/>
      <w:iCs/>
      <w:sz w:val="26"/>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rsid w:val="00C44384"/>
    <w:rPr>
      <w:rFonts w:ascii="Lucida Handwriting" w:eastAsia="Times New Roman" w:hAnsi="Lucida Handwriting" w:cs="DecoType Naskh Variants"/>
      <w:b/>
      <w:bCs/>
      <w:sz w:val="24"/>
      <w:szCs w:val="24"/>
      <w:lang w:eastAsia="fr-FR"/>
    </w:rPr>
  </w:style>
  <w:style w:type="character" w:customStyle="1" w:styleId="Titre2Car">
    <w:name w:val="Titre 2 Car"/>
    <w:basedOn w:val="Policepardfaut"/>
    <w:link w:val="Titre2"/>
    <w:rsid w:val="00C44384"/>
    <w:rPr>
      <w:rFonts w:ascii="Times New Roman" w:eastAsia="Times New Roman" w:hAnsi="Times New Roman" w:cs="Times New Roman"/>
      <w:b/>
      <w:bCs/>
      <w:i/>
      <w:iCs/>
      <w:sz w:val="24"/>
      <w:szCs w:val="24"/>
      <w:lang w:eastAsia="fr-FR"/>
    </w:rPr>
  </w:style>
  <w:style w:type="character" w:customStyle="1" w:styleId="Titre3Car">
    <w:name w:val="Titre 3 Car"/>
    <w:basedOn w:val="Policepardfaut"/>
    <w:link w:val="Titre3"/>
    <w:rsid w:val="00C44384"/>
    <w:rPr>
      <w:rFonts w:ascii="Times New Roman" w:eastAsia="Times New Roman" w:hAnsi="Times New Roman" w:cs="Times New Roman"/>
      <w:b/>
      <w:bCs/>
      <w:i/>
      <w:iCs/>
      <w:sz w:val="24"/>
      <w:szCs w:val="24"/>
      <w:lang w:eastAsia="fr-FR"/>
    </w:rPr>
  </w:style>
  <w:style w:type="character" w:customStyle="1" w:styleId="Titre4Car">
    <w:name w:val="Titre 4 Car"/>
    <w:basedOn w:val="Policepardfaut"/>
    <w:link w:val="Titre4"/>
    <w:rsid w:val="00C44384"/>
    <w:rPr>
      <w:rFonts w:ascii="Times New Roman" w:eastAsia="Times New Roman" w:hAnsi="Times New Roman" w:cs="Times New Roman"/>
      <w:b/>
      <w:bCs/>
      <w:sz w:val="28"/>
      <w:szCs w:val="28"/>
      <w:lang w:eastAsia="fr-FR"/>
    </w:rPr>
  </w:style>
  <w:style w:type="character" w:customStyle="1" w:styleId="Titre5Car">
    <w:name w:val="Titre 5 Car"/>
    <w:basedOn w:val="Policepardfaut"/>
    <w:link w:val="Titre5"/>
    <w:rsid w:val="00C44384"/>
    <w:rPr>
      <w:rFonts w:ascii="Times New Roman" w:eastAsia="Times New Roman" w:hAnsi="Times New Roman" w:cs="Times New Roman"/>
      <w:b/>
      <w:bCs/>
      <w:i/>
      <w:iCs/>
      <w:sz w:val="26"/>
      <w:szCs w:val="26"/>
      <w:lang w:eastAsia="fr-FR"/>
    </w:rPr>
  </w:style>
  <w:style w:type="paragraph" w:styleId="Corpsdetexte">
    <w:name w:val="Body Text"/>
    <w:basedOn w:val="Normal"/>
    <w:link w:val="CorpsdetexteCar"/>
    <w:rsid w:val="00C44384"/>
    <w:pPr>
      <w:spacing w:line="360" w:lineRule="auto"/>
      <w:jc w:val="both"/>
    </w:pPr>
  </w:style>
  <w:style w:type="character" w:customStyle="1" w:styleId="CorpsdetexteCar">
    <w:name w:val="Corps de texte Car"/>
    <w:basedOn w:val="Policepardfaut"/>
    <w:link w:val="Corpsdetexte"/>
    <w:rsid w:val="00C44384"/>
    <w:rPr>
      <w:rFonts w:ascii="Times New Roman" w:eastAsia="Times New Roman" w:hAnsi="Times New Roman" w:cs="Times New Roman"/>
      <w:sz w:val="24"/>
      <w:szCs w:val="24"/>
      <w:lang w:eastAsia="fr-FR"/>
    </w:rPr>
  </w:style>
  <w:style w:type="paragraph" w:styleId="Corpsdetexte2">
    <w:name w:val="Body Text 2"/>
    <w:basedOn w:val="Normal"/>
    <w:link w:val="Corpsdetexte2Car"/>
    <w:rsid w:val="00C44384"/>
    <w:pPr>
      <w:spacing w:line="360" w:lineRule="auto"/>
    </w:pPr>
    <w:rPr>
      <w:sz w:val="18"/>
    </w:rPr>
  </w:style>
  <w:style w:type="character" w:customStyle="1" w:styleId="Corpsdetexte2Car">
    <w:name w:val="Corps de texte 2 Car"/>
    <w:basedOn w:val="Policepardfaut"/>
    <w:link w:val="Corpsdetexte2"/>
    <w:rsid w:val="00C44384"/>
    <w:rPr>
      <w:rFonts w:ascii="Times New Roman" w:eastAsia="Times New Roman" w:hAnsi="Times New Roman" w:cs="Times New Roman"/>
      <w:sz w:val="18"/>
      <w:szCs w:val="24"/>
      <w:lang w:eastAsia="fr-FR"/>
    </w:rPr>
  </w:style>
  <w:style w:type="paragraph" w:styleId="Corpsdetexte3">
    <w:name w:val="Body Text 3"/>
    <w:basedOn w:val="Normal"/>
    <w:link w:val="Corpsdetexte3Car"/>
    <w:rsid w:val="00C44384"/>
    <w:pPr>
      <w:spacing w:line="360" w:lineRule="auto"/>
    </w:pPr>
    <w:rPr>
      <w:b/>
      <w:bCs/>
      <w:sz w:val="18"/>
    </w:rPr>
  </w:style>
  <w:style w:type="character" w:customStyle="1" w:styleId="Corpsdetexte3Car">
    <w:name w:val="Corps de texte 3 Car"/>
    <w:basedOn w:val="Policepardfaut"/>
    <w:link w:val="Corpsdetexte3"/>
    <w:rsid w:val="00C44384"/>
    <w:rPr>
      <w:rFonts w:ascii="Times New Roman" w:eastAsia="Times New Roman" w:hAnsi="Times New Roman" w:cs="Times New Roman"/>
      <w:b/>
      <w:bCs/>
      <w:sz w:val="18"/>
      <w:szCs w:val="24"/>
      <w:lang w:eastAsia="fr-FR"/>
    </w:rPr>
  </w:style>
  <w:style w:type="paragraph" w:styleId="NormalWeb">
    <w:name w:val="Normal (Web)"/>
    <w:basedOn w:val="Normal"/>
    <w:rsid w:val="00C44384"/>
    <w:pPr>
      <w:spacing w:before="100" w:beforeAutospacing="1" w:after="100" w:afterAutospacing="1"/>
    </w:pPr>
  </w:style>
  <w:style w:type="table" w:styleId="Grilledutableau">
    <w:name w:val="Table Grid"/>
    <w:basedOn w:val="TableauNormal"/>
    <w:rsid w:val="00C44384"/>
    <w:pPr>
      <w:spacing w:after="0" w:line="240" w:lineRule="auto"/>
    </w:pPr>
    <w:rPr>
      <w:rFonts w:ascii="Times New Roman" w:eastAsia="Times New Roman" w:hAnsi="Times New Roman" w:cs="Times New Roman"/>
      <w:sz w:val="20"/>
      <w:szCs w:val="20"/>
      <w:lang w:eastAsia="fr-F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justifie-retrait">
    <w:name w:val="justifie-retrait"/>
    <w:basedOn w:val="Normal"/>
    <w:rsid w:val="00C44384"/>
    <w:pPr>
      <w:spacing w:before="100" w:beforeAutospacing="1" w:after="100" w:afterAutospacing="1"/>
      <w:ind w:firstLine="400"/>
      <w:jc w:val="both"/>
    </w:pPr>
    <w:rPr>
      <w:sz w:val="20"/>
      <w:szCs w:val="20"/>
    </w:rPr>
  </w:style>
  <w:style w:type="character" w:styleId="Accentuation">
    <w:name w:val="Emphasis"/>
    <w:basedOn w:val="Policepardfaut"/>
    <w:qFormat/>
    <w:rsid w:val="00C44384"/>
    <w:rPr>
      <w:i/>
      <w:iCs/>
    </w:rPr>
  </w:style>
  <w:style w:type="character" w:styleId="lev">
    <w:name w:val="Strong"/>
    <w:basedOn w:val="Policepardfaut"/>
    <w:qFormat/>
    <w:rsid w:val="00C44384"/>
    <w:rPr>
      <w:b/>
      <w:bCs/>
    </w:rPr>
  </w:style>
  <w:style w:type="character" w:styleId="Lienhypertexte">
    <w:name w:val="Hyperlink"/>
    <w:basedOn w:val="Policepardfaut"/>
    <w:rsid w:val="00C44384"/>
    <w:rPr>
      <w:color w:val="0000FF"/>
      <w:u w:val="single"/>
    </w:rPr>
  </w:style>
  <w:style w:type="character" w:styleId="CitationHTML">
    <w:name w:val="HTML Cite"/>
    <w:basedOn w:val="Policepardfaut"/>
    <w:rsid w:val="00C44384"/>
    <w:rPr>
      <w:i/>
      <w:iCs/>
    </w:rPr>
  </w:style>
  <w:style w:type="character" w:customStyle="1" w:styleId="lang-en">
    <w:name w:val="lang-en"/>
    <w:basedOn w:val="Policepardfaut"/>
    <w:rsid w:val="00C44384"/>
  </w:style>
  <w:style w:type="paragraph" w:styleId="Pieddepage">
    <w:name w:val="footer"/>
    <w:basedOn w:val="Normal"/>
    <w:link w:val="PieddepageCar"/>
    <w:rsid w:val="00C44384"/>
    <w:pPr>
      <w:tabs>
        <w:tab w:val="center" w:pos="4536"/>
        <w:tab w:val="right" w:pos="9072"/>
      </w:tabs>
    </w:pPr>
  </w:style>
  <w:style w:type="character" w:customStyle="1" w:styleId="PieddepageCar">
    <w:name w:val="Pied de page Car"/>
    <w:basedOn w:val="Policepardfaut"/>
    <w:link w:val="Pieddepage"/>
    <w:rsid w:val="00C44384"/>
    <w:rPr>
      <w:rFonts w:ascii="Times New Roman" w:eastAsia="Times New Roman" w:hAnsi="Times New Roman" w:cs="Times New Roman"/>
      <w:sz w:val="24"/>
      <w:szCs w:val="24"/>
      <w:lang w:eastAsia="fr-FR"/>
    </w:rPr>
  </w:style>
  <w:style w:type="character" w:styleId="Numrodepage">
    <w:name w:val="page number"/>
    <w:basedOn w:val="Policepardfaut"/>
    <w:rsid w:val="00C44384"/>
  </w:style>
  <w:style w:type="paragraph" w:customStyle="1" w:styleId="Default">
    <w:name w:val="Default"/>
    <w:rsid w:val="00C44384"/>
    <w:pPr>
      <w:autoSpaceDE w:val="0"/>
      <w:autoSpaceDN w:val="0"/>
      <w:adjustRightInd w:val="0"/>
      <w:spacing w:after="0" w:line="240" w:lineRule="auto"/>
    </w:pPr>
    <w:rPr>
      <w:rFonts w:ascii="Arial" w:eastAsia="Times New Roman" w:hAnsi="Arial" w:cs="Arial"/>
      <w:color w:val="000000"/>
      <w:sz w:val="24"/>
      <w:szCs w:val="24"/>
      <w:lang w:val="en-US"/>
    </w:rPr>
  </w:style>
  <w:style w:type="character" w:customStyle="1" w:styleId="editsection">
    <w:name w:val="editsection"/>
    <w:basedOn w:val="Policepardfaut"/>
    <w:rsid w:val="00C44384"/>
  </w:style>
  <w:style w:type="character" w:customStyle="1" w:styleId="mw-headline">
    <w:name w:val="mw-headline"/>
    <w:basedOn w:val="Policepardfaut"/>
    <w:rsid w:val="00C44384"/>
  </w:style>
  <w:style w:type="character" w:customStyle="1" w:styleId="citecrochet1">
    <w:name w:val="cite_crochet1"/>
    <w:basedOn w:val="Policepardfaut"/>
    <w:rsid w:val="00C44384"/>
    <w:rPr>
      <w:vanish/>
      <w:webHidden w:val="0"/>
      <w:specVanish w:val="0"/>
    </w:rPr>
  </w:style>
  <w:style w:type="paragraph" w:styleId="En-tte">
    <w:name w:val="header"/>
    <w:basedOn w:val="Normal"/>
    <w:link w:val="En-tteCar"/>
    <w:rsid w:val="00C44384"/>
    <w:pPr>
      <w:tabs>
        <w:tab w:val="center" w:pos="4153"/>
        <w:tab w:val="right" w:pos="8306"/>
      </w:tabs>
    </w:pPr>
  </w:style>
  <w:style w:type="character" w:customStyle="1" w:styleId="En-tteCar">
    <w:name w:val="En-tête Car"/>
    <w:basedOn w:val="Policepardfaut"/>
    <w:link w:val="En-tte"/>
    <w:rsid w:val="00C44384"/>
    <w:rPr>
      <w:rFonts w:ascii="Times New Roman" w:eastAsia="Times New Roman" w:hAnsi="Times New Roman" w:cs="Times New Roman"/>
      <w:sz w:val="24"/>
      <w:szCs w:val="24"/>
      <w:lang w:eastAsia="fr-FR"/>
    </w:rPr>
  </w:style>
  <w:style w:type="paragraph" w:styleId="Textedebulles">
    <w:name w:val="Balloon Text"/>
    <w:basedOn w:val="Normal"/>
    <w:link w:val="TextedebullesCar"/>
    <w:uiPriority w:val="99"/>
    <w:semiHidden/>
    <w:unhideWhenUsed/>
    <w:rsid w:val="00C44384"/>
    <w:rPr>
      <w:rFonts w:ascii="Tahoma" w:hAnsi="Tahoma" w:cs="Tahoma"/>
      <w:sz w:val="16"/>
      <w:szCs w:val="16"/>
    </w:rPr>
  </w:style>
  <w:style w:type="character" w:customStyle="1" w:styleId="TextedebullesCar">
    <w:name w:val="Texte de bulles Car"/>
    <w:basedOn w:val="Policepardfaut"/>
    <w:link w:val="Textedebulles"/>
    <w:uiPriority w:val="99"/>
    <w:semiHidden/>
    <w:rsid w:val="00C44384"/>
    <w:rPr>
      <w:rFonts w:ascii="Tahoma" w:eastAsia="Times New Roman" w:hAnsi="Tahoma" w:cs="Tahoma"/>
      <w:sz w:val="16"/>
      <w:szCs w:val="16"/>
      <w:lang w:eastAsia="fr-FR"/>
    </w:rPr>
  </w:style>
  <w:style w:type="paragraph" w:customStyle="1" w:styleId="title">
    <w:name w:val="title"/>
    <w:basedOn w:val="Normal"/>
    <w:rsid w:val="00634F62"/>
    <w:pPr>
      <w:spacing w:before="100" w:beforeAutospacing="1" w:after="100" w:afterAutospacing="1"/>
    </w:pPr>
    <w:rPr>
      <w:rFonts w:ascii="Arial" w:hAnsi="Arial" w:cs="Arial"/>
      <w:color w:val="000000"/>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7.wmf"/><Relationship Id="rId18" Type="http://schemas.openxmlformats.org/officeDocument/2006/relationships/image" Target="file:///C:\Users\afaf\Desktop\master%202016\application%20de%20la%20spectroscopie%20IR\IR%20cons&#233;quence_fichiers\index_bas_fichiers\ir_1_06_fichiers\mu.gif" TargetMode="External"/><Relationship Id="rId26" Type="http://schemas.openxmlformats.org/officeDocument/2006/relationships/image" Target="media/image13.png"/><Relationship Id="rId39" Type="http://schemas.openxmlformats.org/officeDocument/2006/relationships/image" Target="media/image21.png"/><Relationship Id="rId21" Type="http://schemas.openxmlformats.org/officeDocument/2006/relationships/oleObject" Target="embeddings/oleObject3.bin"/><Relationship Id="rId34" Type="http://schemas.openxmlformats.org/officeDocument/2006/relationships/image" Target="media/image17.wmf"/><Relationship Id="rId42" Type="http://schemas.openxmlformats.org/officeDocument/2006/relationships/image" Target="media/image24.png"/><Relationship Id="rId47" Type="http://schemas.openxmlformats.org/officeDocument/2006/relationships/image" Target="media/image29.png"/><Relationship Id="rId50" Type="http://schemas.openxmlformats.org/officeDocument/2006/relationships/oleObject" Target="embeddings/oleObject8.bin"/><Relationship Id="rId55" Type="http://schemas.openxmlformats.org/officeDocument/2006/relationships/image" Target="media/image35.png"/><Relationship Id="rId63" Type="http://schemas.openxmlformats.org/officeDocument/2006/relationships/image" Target="media/image42.png"/><Relationship Id="rId68" Type="http://schemas.openxmlformats.org/officeDocument/2006/relationships/fontTable" Target="fontTable.xml"/><Relationship Id="rId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oleObject" Target="embeddings/oleObject2.bin"/><Relationship Id="rId29" Type="http://schemas.openxmlformats.org/officeDocument/2006/relationships/oleObject" Target="embeddings/oleObject5.bin"/><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image" Target="media/image12.png"/><Relationship Id="rId32" Type="http://schemas.openxmlformats.org/officeDocument/2006/relationships/image" Target="media/image16.png"/><Relationship Id="rId37" Type="http://schemas.openxmlformats.org/officeDocument/2006/relationships/image" Target="media/image19.png"/><Relationship Id="rId40" Type="http://schemas.openxmlformats.org/officeDocument/2006/relationships/image" Target="media/image22.png"/><Relationship Id="rId45" Type="http://schemas.openxmlformats.org/officeDocument/2006/relationships/image" Target="media/image27.png"/><Relationship Id="rId53" Type="http://schemas.openxmlformats.org/officeDocument/2006/relationships/image" Target="media/image33.png"/><Relationship Id="rId58" Type="http://schemas.openxmlformats.org/officeDocument/2006/relationships/image" Target="media/image38.png"/><Relationship Id="rId66"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image" Target="media/image8.wmf"/><Relationship Id="rId23" Type="http://schemas.openxmlformats.org/officeDocument/2006/relationships/oleObject" Target="embeddings/oleObject4.bin"/><Relationship Id="rId28" Type="http://schemas.openxmlformats.org/officeDocument/2006/relationships/image" Target="media/image14.wmf"/><Relationship Id="rId36" Type="http://schemas.openxmlformats.org/officeDocument/2006/relationships/image" Target="media/image18.png"/><Relationship Id="rId49" Type="http://schemas.openxmlformats.org/officeDocument/2006/relationships/image" Target="media/image31.wmf"/><Relationship Id="rId57" Type="http://schemas.openxmlformats.org/officeDocument/2006/relationships/image" Target="media/image37.png"/><Relationship Id="rId61" Type="http://schemas.openxmlformats.org/officeDocument/2006/relationships/image" Target="media/image40.png"/><Relationship Id="rId10" Type="http://schemas.openxmlformats.org/officeDocument/2006/relationships/image" Target="media/image4.png"/><Relationship Id="rId19" Type="http://schemas.openxmlformats.org/officeDocument/2006/relationships/image" Target="http://www.uel.education.fr/consultation/reference/chimie/spectro/infra_rouge/images/symboles/mu.gif" TargetMode="External"/><Relationship Id="rId31" Type="http://schemas.openxmlformats.org/officeDocument/2006/relationships/oleObject" Target="embeddings/oleObject6.bin"/><Relationship Id="rId44" Type="http://schemas.openxmlformats.org/officeDocument/2006/relationships/image" Target="media/image26.png"/><Relationship Id="rId52" Type="http://schemas.openxmlformats.org/officeDocument/2006/relationships/oleObject" Target="embeddings/oleObject9.bin"/><Relationship Id="rId60" Type="http://schemas.openxmlformats.org/officeDocument/2006/relationships/oleObject" Target="embeddings/oleObject10.bin"/><Relationship Id="rId65"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oleObject" Target="embeddings/oleObject1.bin"/><Relationship Id="rId22" Type="http://schemas.openxmlformats.org/officeDocument/2006/relationships/image" Target="media/image11.wmf"/><Relationship Id="rId27" Type="http://schemas.openxmlformats.org/officeDocument/2006/relationships/image" Target="http://www.uel.education.fr/consultation/reference/chimie/spectro/infra_rouge/images/ir_2/ir_2_10a.gif" TargetMode="External"/><Relationship Id="rId30" Type="http://schemas.openxmlformats.org/officeDocument/2006/relationships/image" Target="media/image15.wmf"/><Relationship Id="rId35" Type="http://schemas.openxmlformats.org/officeDocument/2006/relationships/oleObject" Target="embeddings/oleObject7.bin"/><Relationship Id="rId43" Type="http://schemas.openxmlformats.org/officeDocument/2006/relationships/image" Target="media/image25.png"/><Relationship Id="rId48" Type="http://schemas.openxmlformats.org/officeDocument/2006/relationships/image" Target="media/image30.png"/><Relationship Id="rId56" Type="http://schemas.openxmlformats.org/officeDocument/2006/relationships/image" Target="media/image36.png"/><Relationship Id="rId64" Type="http://schemas.openxmlformats.org/officeDocument/2006/relationships/header" Target="header1.xml"/><Relationship Id="rId69" Type="http://schemas.openxmlformats.org/officeDocument/2006/relationships/theme" Target="theme/theme1.xml"/><Relationship Id="rId8" Type="http://schemas.openxmlformats.org/officeDocument/2006/relationships/image" Target="media/image2.png"/><Relationship Id="rId51" Type="http://schemas.openxmlformats.org/officeDocument/2006/relationships/image" Target="media/image32.wmf"/><Relationship Id="rId3" Type="http://schemas.openxmlformats.org/officeDocument/2006/relationships/settings" Target="settings.xml"/><Relationship Id="rId12" Type="http://schemas.openxmlformats.org/officeDocument/2006/relationships/image" Target="media/image6.png"/><Relationship Id="rId17" Type="http://schemas.openxmlformats.org/officeDocument/2006/relationships/image" Target="media/image9.png"/><Relationship Id="rId25" Type="http://schemas.openxmlformats.org/officeDocument/2006/relationships/image" Target="http://www.uel.education.fr/consultation/reference/chimie/spectro/infra_rouge/images/ir_2/ir_2_10b.gif" TargetMode="External"/><Relationship Id="rId33" Type="http://schemas.openxmlformats.org/officeDocument/2006/relationships/image" Target="http://www.uel.education.fr/consultation/reference/chimie/spectro/infra_rouge/images/ir_2/ir_2_10f.gif" TargetMode="External"/><Relationship Id="rId38" Type="http://schemas.openxmlformats.org/officeDocument/2006/relationships/image" Target="media/image20.png"/><Relationship Id="rId46" Type="http://schemas.openxmlformats.org/officeDocument/2006/relationships/image" Target="media/image28.png"/><Relationship Id="rId59" Type="http://schemas.openxmlformats.org/officeDocument/2006/relationships/image" Target="media/image39.wmf"/><Relationship Id="rId67" Type="http://schemas.openxmlformats.org/officeDocument/2006/relationships/footer" Target="footer2.xml"/><Relationship Id="rId20" Type="http://schemas.openxmlformats.org/officeDocument/2006/relationships/image" Target="media/image10.wmf"/><Relationship Id="rId41" Type="http://schemas.openxmlformats.org/officeDocument/2006/relationships/image" Target="media/image23.png"/><Relationship Id="rId54" Type="http://schemas.openxmlformats.org/officeDocument/2006/relationships/image" Target="media/image34.png"/><Relationship Id="rId62" Type="http://schemas.openxmlformats.org/officeDocument/2006/relationships/image" Target="media/image41.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93</TotalTime>
  <Pages>34</Pages>
  <Words>7169</Words>
  <Characters>39430</Characters>
  <Application>Microsoft Office Word</Application>
  <DocSecurity>0</DocSecurity>
  <Lines>328</Lines>
  <Paragraphs>93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46506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afaf</dc:creator>
  <cp:keywords/>
  <dc:description/>
  <cp:lastModifiedBy>afaf</cp:lastModifiedBy>
  <cp:revision>8</cp:revision>
  <dcterms:created xsi:type="dcterms:W3CDTF">2017-11-09T14:24:00Z</dcterms:created>
  <dcterms:modified xsi:type="dcterms:W3CDTF">2017-11-20T09:29:00Z</dcterms:modified>
</cp:coreProperties>
</file>